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38" w:rsidRPr="00F30271" w:rsidRDefault="007E1A05" w:rsidP="0010124B">
      <w:pPr>
        <w:spacing w:line="360" w:lineRule="auto"/>
        <w:jc w:val="both"/>
        <w:rPr>
          <w:rFonts w:ascii="Times New Roman" w:hAnsi="Times New Roman" w:cs="Times New Roman"/>
          <w:b/>
          <w:sz w:val="40"/>
          <w:szCs w:val="40"/>
        </w:rPr>
      </w:pPr>
      <w:r w:rsidRPr="00F30271">
        <w:rPr>
          <w:rFonts w:ascii="Times New Roman" w:hAnsi="Times New Roman" w:cs="Times New Roman"/>
          <w:b/>
          <w:sz w:val="40"/>
          <w:szCs w:val="40"/>
        </w:rPr>
        <w:t>Pengaruh Dukungan Orang</w:t>
      </w:r>
      <w:r w:rsidR="00B2252B">
        <w:rPr>
          <w:rFonts w:ascii="Times New Roman" w:hAnsi="Times New Roman" w:cs="Times New Roman"/>
          <w:b/>
          <w:sz w:val="40"/>
          <w:szCs w:val="40"/>
        </w:rPr>
        <w:t>t</w:t>
      </w:r>
      <w:r w:rsidRPr="00F30271">
        <w:rPr>
          <w:rFonts w:ascii="Times New Roman" w:hAnsi="Times New Roman" w:cs="Times New Roman"/>
          <w:b/>
          <w:sz w:val="40"/>
          <w:szCs w:val="40"/>
        </w:rPr>
        <w:t xml:space="preserve">ua terhadap Orientasi Seksual dengan Kondisi Kesehatan: Hasil Survey Kelompok LGB (Lesbian, Gay dan Biseksual) </w:t>
      </w:r>
      <w:r w:rsidR="0010124B">
        <w:rPr>
          <w:rFonts w:ascii="Times New Roman" w:hAnsi="Times New Roman" w:cs="Times New Roman"/>
          <w:b/>
          <w:sz w:val="40"/>
          <w:szCs w:val="40"/>
        </w:rPr>
        <w:t xml:space="preserve">Dewasa </w:t>
      </w:r>
      <w:r w:rsidRPr="00F30271">
        <w:rPr>
          <w:rFonts w:ascii="Times New Roman" w:hAnsi="Times New Roman" w:cs="Times New Roman"/>
          <w:b/>
          <w:sz w:val="40"/>
          <w:szCs w:val="40"/>
        </w:rPr>
        <w:t>di Massachusetts.</w:t>
      </w:r>
    </w:p>
    <w:p w:rsidR="00F30271" w:rsidRPr="0010124B" w:rsidRDefault="00B02BA6" w:rsidP="0010124B">
      <w:pPr>
        <w:spacing w:line="360" w:lineRule="auto"/>
        <w:jc w:val="both"/>
        <w:rPr>
          <w:rFonts w:ascii="Times New Roman" w:hAnsi="Times New Roman" w:cs="Times New Roman"/>
          <w:b/>
          <w:sz w:val="28"/>
          <w:szCs w:val="28"/>
        </w:rPr>
      </w:pPr>
      <w:r>
        <w:rPr>
          <w:rFonts w:ascii="Times New Roman" w:hAnsi="Times New Roman" w:cs="Times New Roman"/>
          <w:b/>
          <w:sz w:val="28"/>
          <w:szCs w:val="28"/>
        </w:rPr>
        <w:t>Ringkasan – M. Arief Rahadian</w:t>
      </w:r>
      <w:bookmarkStart w:id="0" w:name="_GoBack"/>
      <w:bookmarkEnd w:id="0"/>
      <w:r w:rsidR="00F30271">
        <w:rPr>
          <w:rFonts w:ascii="Times New Roman" w:hAnsi="Times New Roman" w:cs="Times New Roman"/>
          <w:b/>
          <w:sz w:val="28"/>
          <w:szCs w:val="28"/>
        </w:rPr>
        <w:t>.</w:t>
      </w:r>
    </w:p>
    <w:p w:rsidR="007E78E6" w:rsidRDefault="0010124B" w:rsidP="00CD6AFA">
      <w:pPr>
        <w:spacing w:line="360" w:lineRule="auto"/>
        <w:jc w:val="both"/>
        <w:rPr>
          <w:rFonts w:ascii="Times New Roman" w:hAnsi="Times New Roman" w:cs="Times New Roman"/>
          <w:i/>
          <w:sz w:val="24"/>
          <w:szCs w:val="24"/>
        </w:rPr>
      </w:pPr>
      <w:r w:rsidRPr="00C773AB">
        <w:rPr>
          <w:rFonts w:ascii="Times New Roman" w:hAnsi="Times New Roman" w:cs="Times New Roman"/>
          <w:i/>
          <w:sz w:val="24"/>
          <w:szCs w:val="24"/>
        </w:rPr>
        <w:t xml:space="preserve">Penelitian ini bertujuan untuk melihat hubungan antara coming out kepada orang tua, dukungan orangtua pasca coming out, serta perilaku sehat dan kondisi kesehatan </w:t>
      </w:r>
      <w:r w:rsidR="00B2252B" w:rsidRPr="00C773AB">
        <w:rPr>
          <w:rFonts w:ascii="Times New Roman" w:hAnsi="Times New Roman" w:cs="Times New Roman"/>
          <w:i/>
          <w:sz w:val="24"/>
          <w:szCs w:val="24"/>
        </w:rPr>
        <w:t>pada responden LGB. Penelitian ini menggunakan data dari hasil survey perilaku beresiko yang dilakukan di Massachusetts</w:t>
      </w:r>
      <w:r w:rsidR="006E09E9" w:rsidRPr="00C773AB">
        <w:rPr>
          <w:rFonts w:ascii="Times New Roman" w:hAnsi="Times New Roman" w:cs="Times New Roman"/>
          <w:i/>
          <w:sz w:val="24"/>
          <w:szCs w:val="24"/>
        </w:rPr>
        <w:t>, Amerika Serikat</w:t>
      </w:r>
      <w:r w:rsidR="00B2252B" w:rsidRPr="00C773AB">
        <w:rPr>
          <w:rFonts w:ascii="Times New Roman" w:hAnsi="Times New Roman" w:cs="Times New Roman"/>
          <w:i/>
          <w:sz w:val="24"/>
          <w:szCs w:val="24"/>
        </w:rPr>
        <w:t xml:space="preserve"> pada tahun 2002</w:t>
      </w:r>
      <w:r w:rsidR="008079EB" w:rsidRPr="00C773AB">
        <w:rPr>
          <w:rFonts w:ascii="Times New Roman" w:hAnsi="Times New Roman" w:cs="Times New Roman"/>
          <w:i/>
          <w:sz w:val="24"/>
          <w:szCs w:val="24"/>
        </w:rPr>
        <w:t xml:space="preserve"> (N = 177)</w:t>
      </w:r>
      <w:r w:rsidR="00B2252B" w:rsidRPr="00C773AB">
        <w:rPr>
          <w:rFonts w:ascii="Times New Roman" w:hAnsi="Times New Roman" w:cs="Times New Roman"/>
          <w:i/>
          <w:sz w:val="24"/>
          <w:szCs w:val="24"/>
        </w:rPr>
        <w:t xml:space="preserve">. Terdapat dua hipotesis didalam penelitian ini: 1) </w:t>
      </w:r>
      <w:r w:rsidR="006E09E9" w:rsidRPr="00C773AB">
        <w:rPr>
          <w:rFonts w:ascii="Times New Roman" w:hAnsi="Times New Roman" w:cs="Times New Roman"/>
          <w:i/>
          <w:sz w:val="24"/>
          <w:szCs w:val="24"/>
        </w:rPr>
        <w:t xml:space="preserve">Kondisi kesehatan dan perilaku sehat kelompok </w:t>
      </w:r>
      <w:r w:rsidR="00B2252B" w:rsidRPr="00C773AB">
        <w:rPr>
          <w:rFonts w:ascii="Times New Roman" w:hAnsi="Times New Roman" w:cs="Times New Roman"/>
          <w:i/>
          <w:sz w:val="24"/>
          <w:szCs w:val="24"/>
        </w:rPr>
        <w:t xml:space="preserve">LGB yang belum atau tidak coming out kepada orangtuanya </w:t>
      </w:r>
      <w:r w:rsidR="006E09E9" w:rsidRPr="00C773AB">
        <w:rPr>
          <w:rFonts w:ascii="Times New Roman" w:hAnsi="Times New Roman" w:cs="Times New Roman"/>
          <w:i/>
          <w:sz w:val="24"/>
          <w:szCs w:val="24"/>
        </w:rPr>
        <w:t>akan</w:t>
      </w:r>
      <w:r w:rsidR="00B2252B" w:rsidRPr="00C773AB">
        <w:rPr>
          <w:rFonts w:ascii="Times New Roman" w:hAnsi="Times New Roman" w:cs="Times New Roman"/>
          <w:i/>
          <w:sz w:val="24"/>
          <w:szCs w:val="24"/>
        </w:rPr>
        <w:t xml:space="preserve"> </w:t>
      </w:r>
      <w:r w:rsidR="00CD6AFA" w:rsidRPr="00C773AB">
        <w:rPr>
          <w:rFonts w:ascii="Times New Roman" w:hAnsi="Times New Roman" w:cs="Times New Roman"/>
          <w:i/>
          <w:sz w:val="24"/>
          <w:szCs w:val="24"/>
        </w:rPr>
        <w:t>l</w:t>
      </w:r>
      <w:r w:rsidR="00B2252B" w:rsidRPr="00C773AB">
        <w:rPr>
          <w:rFonts w:ascii="Times New Roman" w:hAnsi="Times New Roman" w:cs="Times New Roman"/>
          <w:i/>
          <w:sz w:val="24"/>
          <w:szCs w:val="24"/>
        </w:rPr>
        <w:t xml:space="preserve">ebih buruk dibandingkan dengan LGB yang sudah </w:t>
      </w:r>
      <w:r w:rsidR="006E09E9" w:rsidRPr="00C773AB">
        <w:rPr>
          <w:rFonts w:ascii="Times New Roman" w:hAnsi="Times New Roman" w:cs="Times New Roman"/>
          <w:i/>
          <w:sz w:val="24"/>
          <w:szCs w:val="24"/>
        </w:rPr>
        <w:t>coming out; dan 2) LGB yang come out dan tidak mendapatkan dukungan dari orangtuanya akan memiliki</w:t>
      </w:r>
      <w:r w:rsidR="00CD6AFA" w:rsidRPr="00C773AB">
        <w:rPr>
          <w:rFonts w:ascii="Times New Roman" w:hAnsi="Times New Roman" w:cs="Times New Roman"/>
          <w:i/>
          <w:sz w:val="24"/>
          <w:szCs w:val="24"/>
        </w:rPr>
        <w:t xml:space="preserve"> kondisi kesehatan serta perilaku sehat yang lebih buruk dibandingkan dengan LGB yang mendapatkan dukungan dari orangtuanya pasca coming out.</w:t>
      </w:r>
      <w:r w:rsidR="008079EB" w:rsidRPr="00C773AB">
        <w:rPr>
          <w:rFonts w:ascii="Times New Roman" w:hAnsi="Times New Roman" w:cs="Times New Roman"/>
          <w:i/>
          <w:sz w:val="24"/>
          <w:szCs w:val="24"/>
        </w:rPr>
        <w:t xml:space="preserve"> Kurang lebih sebanyak dua per tiga responden LGB, baik laki-laki maupun perempuan mengaku mendapatkan dukungan dari orangtuanya pasca coming out. Bagi responden perempuan yang Lesbian dan Biseksual (LB), </w:t>
      </w:r>
      <w:r w:rsidR="000C0206" w:rsidRPr="00C773AB">
        <w:rPr>
          <w:rFonts w:ascii="Times New Roman" w:hAnsi="Times New Roman" w:cs="Times New Roman"/>
          <w:i/>
          <w:sz w:val="24"/>
          <w:szCs w:val="24"/>
        </w:rPr>
        <w:t xml:space="preserve">terdapat hubungan </w:t>
      </w:r>
      <w:r w:rsidR="001E7C40" w:rsidRPr="00C773AB">
        <w:rPr>
          <w:rFonts w:ascii="Times New Roman" w:hAnsi="Times New Roman" w:cs="Times New Roman"/>
          <w:i/>
          <w:sz w:val="24"/>
          <w:szCs w:val="24"/>
        </w:rPr>
        <w:t>positif</w:t>
      </w:r>
      <w:r w:rsidR="000C0206" w:rsidRPr="00C773AB">
        <w:rPr>
          <w:rFonts w:ascii="Times New Roman" w:hAnsi="Times New Roman" w:cs="Times New Roman"/>
          <w:i/>
          <w:sz w:val="24"/>
          <w:szCs w:val="24"/>
        </w:rPr>
        <w:t xml:space="preserve"> antara antar</w:t>
      </w:r>
      <w:r w:rsidR="005140C9" w:rsidRPr="00C773AB">
        <w:rPr>
          <w:rFonts w:ascii="Times New Roman" w:hAnsi="Times New Roman" w:cs="Times New Roman"/>
          <w:i/>
          <w:sz w:val="24"/>
          <w:szCs w:val="24"/>
        </w:rPr>
        <w:t xml:space="preserve">a </w:t>
      </w:r>
      <w:r w:rsidR="000C0206" w:rsidRPr="00C773AB">
        <w:rPr>
          <w:rFonts w:ascii="Times New Roman" w:hAnsi="Times New Roman" w:cs="Times New Roman"/>
          <w:i/>
          <w:sz w:val="24"/>
          <w:szCs w:val="24"/>
        </w:rPr>
        <w:t>coming out dengan kondisi kesehatan responden</w:t>
      </w:r>
      <w:r w:rsidR="001E7C40" w:rsidRPr="00C773AB">
        <w:rPr>
          <w:rFonts w:ascii="Times New Roman" w:hAnsi="Times New Roman" w:cs="Times New Roman"/>
          <w:i/>
          <w:sz w:val="24"/>
          <w:szCs w:val="24"/>
        </w:rPr>
        <w:t xml:space="preserve"> yang mencakup </w:t>
      </w:r>
      <w:r w:rsidR="00FF1811">
        <w:rPr>
          <w:rFonts w:ascii="Times New Roman" w:hAnsi="Times New Roman" w:cs="Times New Roman"/>
          <w:i/>
          <w:sz w:val="24"/>
          <w:szCs w:val="24"/>
        </w:rPr>
        <w:t xml:space="preserve">rendahnya </w:t>
      </w:r>
      <w:r w:rsidR="001E7C40" w:rsidRPr="00C773AB">
        <w:rPr>
          <w:rFonts w:ascii="Times New Roman" w:hAnsi="Times New Roman" w:cs="Times New Roman"/>
          <w:i/>
          <w:sz w:val="24"/>
          <w:szCs w:val="24"/>
        </w:rPr>
        <w:t xml:space="preserve">penggunaan obat-obatan terlarang, </w:t>
      </w:r>
      <w:r w:rsidR="00FF1811">
        <w:rPr>
          <w:rFonts w:ascii="Times New Roman" w:hAnsi="Times New Roman" w:cs="Times New Roman"/>
          <w:i/>
          <w:sz w:val="24"/>
          <w:szCs w:val="24"/>
        </w:rPr>
        <w:t xml:space="preserve">tingginya </w:t>
      </w:r>
      <w:r w:rsidR="001E7C40" w:rsidRPr="00C773AB">
        <w:rPr>
          <w:rFonts w:ascii="Times New Roman" w:hAnsi="Times New Roman" w:cs="Times New Roman"/>
          <w:i/>
          <w:sz w:val="24"/>
          <w:szCs w:val="24"/>
        </w:rPr>
        <w:t xml:space="preserve">kesehatan subjektif responden, dan </w:t>
      </w:r>
      <w:r w:rsidR="00FF1811">
        <w:rPr>
          <w:rFonts w:ascii="Times New Roman" w:hAnsi="Times New Roman" w:cs="Times New Roman"/>
          <w:i/>
          <w:sz w:val="24"/>
          <w:szCs w:val="24"/>
        </w:rPr>
        <w:t xml:space="preserve">rendahnya </w:t>
      </w:r>
      <w:r w:rsidR="001E7C40" w:rsidRPr="00C773AB">
        <w:rPr>
          <w:rFonts w:ascii="Times New Roman" w:hAnsi="Times New Roman" w:cs="Times New Roman"/>
          <w:i/>
          <w:sz w:val="24"/>
          <w:szCs w:val="24"/>
        </w:rPr>
        <w:t xml:space="preserve">depresi yang dialami responden dalam satu bulan terakhir. Namun, tidak terdapat hubungan </w:t>
      </w:r>
      <w:r w:rsidR="00FF1811">
        <w:rPr>
          <w:rFonts w:ascii="Times New Roman" w:hAnsi="Times New Roman" w:cs="Times New Roman"/>
          <w:i/>
          <w:sz w:val="24"/>
          <w:szCs w:val="24"/>
        </w:rPr>
        <w:t xml:space="preserve">antara </w:t>
      </w:r>
      <w:r w:rsidR="001E7C40" w:rsidRPr="00C773AB">
        <w:rPr>
          <w:rFonts w:ascii="Times New Roman" w:hAnsi="Times New Roman" w:cs="Times New Roman"/>
          <w:i/>
          <w:sz w:val="24"/>
          <w:szCs w:val="24"/>
        </w:rPr>
        <w:t xml:space="preserve">coming out dengan kondisi kesehatan responden laki-laki Gay dan Biseksual (GB). Diantara laki-laki GB yang tidak mendapatkan dukungan </w:t>
      </w:r>
      <w:r w:rsidR="005140C9" w:rsidRPr="00C773AB">
        <w:rPr>
          <w:rFonts w:ascii="Times New Roman" w:hAnsi="Times New Roman" w:cs="Times New Roman"/>
          <w:i/>
          <w:sz w:val="24"/>
          <w:szCs w:val="24"/>
        </w:rPr>
        <w:t>dari orangtuanya pasca coming out, terdapat kecenderungan untuk mengk</w:t>
      </w:r>
      <w:r w:rsidR="00FF1811">
        <w:rPr>
          <w:rFonts w:ascii="Times New Roman" w:hAnsi="Times New Roman" w:cs="Times New Roman"/>
          <w:i/>
          <w:sz w:val="24"/>
          <w:szCs w:val="24"/>
        </w:rPr>
        <w:t xml:space="preserve">onsumsi alkohol, serta depresi lebih dari </w:t>
      </w:r>
      <w:r w:rsidR="005140C9" w:rsidRPr="00C773AB">
        <w:rPr>
          <w:rFonts w:ascii="Times New Roman" w:hAnsi="Times New Roman" w:cs="Times New Roman"/>
          <w:i/>
          <w:sz w:val="24"/>
          <w:szCs w:val="24"/>
        </w:rPr>
        <w:t xml:space="preserve">15 hari dalam satu bulan terakhir. Sedangkan, diantara perempuan LB, terdapat kecenderungan untuk mengkonsumsi obat-obatan </w:t>
      </w:r>
      <w:r w:rsidR="00FF1811">
        <w:rPr>
          <w:rFonts w:ascii="Times New Roman" w:hAnsi="Times New Roman" w:cs="Times New Roman"/>
          <w:i/>
          <w:sz w:val="24"/>
          <w:szCs w:val="24"/>
        </w:rPr>
        <w:t xml:space="preserve">terlarang, serta depresi lebih dari </w:t>
      </w:r>
      <w:r w:rsidR="005140C9" w:rsidRPr="00C773AB">
        <w:rPr>
          <w:rFonts w:ascii="Times New Roman" w:hAnsi="Times New Roman" w:cs="Times New Roman"/>
          <w:i/>
          <w:sz w:val="24"/>
          <w:szCs w:val="24"/>
        </w:rPr>
        <w:t xml:space="preserve">15 hari dalam satu bulan terakhir. Dari hasil </w:t>
      </w:r>
      <w:r w:rsidR="005140C9" w:rsidRPr="00C773AB">
        <w:rPr>
          <w:rFonts w:ascii="Times New Roman" w:hAnsi="Times New Roman" w:cs="Times New Roman"/>
          <w:i/>
          <w:sz w:val="24"/>
          <w:szCs w:val="24"/>
        </w:rPr>
        <w:lastRenderedPageBreak/>
        <w:t>penelitian ini, dapat disimpulkan bahwa coming out memiliki dampak positif terhadap perempuan LB</w:t>
      </w:r>
      <w:r w:rsidR="00C773AB" w:rsidRPr="00C773AB">
        <w:rPr>
          <w:rFonts w:ascii="Times New Roman" w:hAnsi="Times New Roman" w:cs="Times New Roman"/>
          <w:i/>
          <w:sz w:val="24"/>
          <w:szCs w:val="24"/>
        </w:rPr>
        <w:t>, dan sikap tidak mendukung orangtua pasca coming out dapat berkontribusi pada p</w:t>
      </w:r>
      <w:r w:rsidR="00B6067F">
        <w:rPr>
          <w:rFonts w:ascii="Times New Roman" w:hAnsi="Times New Roman" w:cs="Times New Roman"/>
          <w:i/>
          <w:sz w:val="24"/>
          <w:szCs w:val="24"/>
        </w:rPr>
        <w:t>eningkatan konsumsi alkohol dan</w:t>
      </w:r>
      <w:r w:rsidR="00C773AB" w:rsidRPr="00C773AB">
        <w:rPr>
          <w:rFonts w:ascii="Times New Roman" w:hAnsi="Times New Roman" w:cs="Times New Roman"/>
          <w:i/>
          <w:sz w:val="24"/>
          <w:szCs w:val="24"/>
        </w:rPr>
        <w:t xml:space="preserve"> minuman terlarang, serta </w:t>
      </w:r>
      <w:r w:rsidR="00FF1811">
        <w:rPr>
          <w:rFonts w:ascii="Times New Roman" w:hAnsi="Times New Roman" w:cs="Times New Roman"/>
          <w:i/>
          <w:sz w:val="24"/>
          <w:szCs w:val="24"/>
        </w:rPr>
        <w:t xml:space="preserve">depresi berkelanjutan baik pada laki-laki GB maupun perempuan LB </w:t>
      </w:r>
      <w:r w:rsidR="007E78E6">
        <w:rPr>
          <w:rFonts w:ascii="Times New Roman" w:hAnsi="Times New Roman" w:cs="Times New Roman"/>
          <w:i/>
          <w:sz w:val="24"/>
          <w:szCs w:val="24"/>
        </w:rPr>
        <w:t>.</w:t>
      </w:r>
    </w:p>
    <w:p w:rsidR="007E78E6" w:rsidRDefault="007E78E6" w:rsidP="00CD6AFA">
      <w:pPr>
        <w:spacing w:line="360" w:lineRule="auto"/>
        <w:jc w:val="both"/>
        <w:rPr>
          <w:rFonts w:ascii="Times New Roman" w:hAnsi="Times New Roman" w:cs="Times New Roman"/>
          <w:sz w:val="24"/>
          <w:szCs w:val="24"/>
        </w:rPr>
      </w:pPr>
    </w:p>
    <w:p w:rsidR="001224D5" w:rsidRPr="001224D5" w:rsidRDefault="001224D5" w:rsidP="001224D5">
      <w:pPr>
        <w:keepNext/>
        <w:framePr w:dropCap="drop" w:lines="3" w:hSpace="113" w:wrap="around" w:vAnchor="text" w:hAnchor="text"/>
        <w:spacing w:after="0" w:line="1241" w:lineRule="exact"/>
        <w:jc w:val="both"/>
        <w:textAlignment w:val="baseline"/>
        <w:rPr>
          <w:rFonts w:ascii="Times New Roman" w:hAnsi="Times New Roman" w:cs="Times New Roman"/>
          <w:position w:val="-6"/>
          <w:sz w:val="153"/>
          <w:szCs w:val="24"/>
        </w:rPr>
      </w:pPr>
      <w:r w:rsidRPr="001224D5">
        <w:rPr>
          <w:rFonts w:ascii="Times New Roman" w:hAnsi="Times New Roman" w:cs="Times New Roman"/>
          <w:position w:val="-6"/>
          <w:sz w:val="153"/>
          <w:szCs w:val="24"/>
        </w:rPr>
        <w:t>K</w:t>
      </w:r>
    </w:p>
    <w:p w:rsidR="007E78E6" w:rsidRDefault="00BE08E5" w:rsidP="00CD6AFA">
      <w:pPr>
        <w:spacing w:line="360" w:lineRule="auto"/>
        <w:jc w:val="both"/>
        <w:rPr>
          <w:rFonts w:ascii="Times New Roman" w:hAnsi="Times New Roman" w:cs="Times New Roman"/>
          <w:sz w:val="24"/>
          <w:szCs w:val="24"/>
        </w:rPr>
      </w:pPr>
      <w:r>
        <w:rPr>
          <w:rFonts w:ascii="Times New Roman" w:hAnsi="Times New Roman" w:cs="Times New Roman"/>
          <w:sz w:val="24"/>
          <w:szCs w:val="24"/>
        </w:rPr>
        <w:t>elompok lesbian, gay, dan biseksual (LGB) memiliki angka perilaku sehat dan kondisi kesehatan yang relatif lebih rendah dibandingkan dengan kelompok heteroseksual. Hal tersebut dapat dilihat dari tingginya angka konsumsi alkohol, pemakaian obat-obatan terlarang, mero</w:t>
      </w:r>
      <w:r w:rsidR="006364D4">
        <w:rPr>
          <w:rFonts w:ascii="Times New Roman" w:hAnsi="Times New Roman" w:cs="Times New Roman"/>
          <w:sz w:val="24"/>
          <w:szCs w:val="24"/>
        </w:rPr>
        <w:t>kok, depresi</w:t>
      </w:r>
      <w:r>
        <w:rPr>
          <w:rFonts w:ascii="Times New Roman" w:hAnsi="Times New Roman" w:cs="Times New Roman"/>
          <w:sz w:val="24"/>
          <w:szCs w:val="24"/>
        </w:rPr>
        <w:t xml:space="preserve"> serta minimnya akses ke fasilitas kesehatan umum (Cohran et al., 2003). </w:t>
      </w:r>
      <w:r w:rsidR="006364D4">
        <w:rPr>
          <w:rFonts w:ascii="Times New Roman" w:hAnsi="Times New Roman" w:cs="Times New Roman"/>
          <w:sz w:val="24"/>
          <w:szCs w:val="24"/>
        </w:rPr>
        <w:t>Hal tersebut terjadi karena kelompok LGB rentan terhadap stress, yang kemudian memicu rendahnya kualitas kesehatan mental dan kecenderungan untuk memakai obat-obatan terlarang (Igartua et al., 2003).</w:t>
      </w:r>
      <w:r w:rsidR="003564DA">
        <w:rPr>
          <w:rFonts w:ascii="Times New Roman" w:hAnsi="Times New Roman" w:cs="Times New Roman"/>
          <w:sz w:val="24"/>
          <w:szCs w:val="24"/>
        </w:rPr>
        <w:t xml:space="preserve"> Meyer (2003) memaparkan beberapa faktor yang menyebabkan tingginya angka stress di kelompok LGB yaitu: </w:t>
      </w:r>
      <w:r w:rsidR="003564DA" w:rsidRPr="003564DA">
        <w:rPr>
          <w:rFonts w:ascii="Times New Roman" w:hAnsi="Times New Roman" w:cs="Times New Roman"/>
          <w:i/>
          <w:sz w:val="24"/>
          <w:szCs w:val="24"/>
        </w:rPr>
        <w:t>overt prejudice</w:t>
      </w:r>
      <w:r w:rsidR="003564DA">
        <w:rPr>
          <w:rFonts w:ascii="Times New Roman" w:hAnsi="Times New Roman" w:cs="Times New Roman"/>
          <w:sz w:val="24"/>
          <w:szCs w:val="24"/>
        </w:rPr>
        <w:t>, rasa takut akan diskriminasi, stigma negatif dan penyembunyian orientasi seksual.</w:t>
      </w:r>
    </w:p>
    <w:p w:rsidR="003564DA" w:rsidRDefault="003564DA" w:rsidP="00CD6AF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Lebih lanjut, penelitian ini fokus kepada poin terakhir yang diungkapkan Meyer, yaitu penyembunyian orientasi seksual. Membuka orientasi seksual, atau yang biasanya disebut sebagai </w:t>
      </w:r>
      <w:r w:rsidRPr="003564DA">
        <w:rPr>
          <w:rFonts w:ascii="Times New Roman" w:hAnsi="Times New Roman" w:cs="Times New Roman"/>
          <w:i/>
          <w:sz w:val="24"/>
          <w:szCs w:val="24"/>
        </w:rPr>
        <w:t>coming out</w:t>
      </w:r>
      <w:r>
        <w:rPr>
          <w:rFonts w:ascii="Times New Roman" w:hAnsi="Times New Roman" w:cs="Times New Roman"/>
          <w:sz w:val="24"/>
          <w:szCs w:val="24"/>
        </w:rPr>
        <w:t xml:space="preserve"> memiliki dampak yang bervariasi pada kondisi kesehatan mental kelompok LGB. Beberapa studi menunjukkan bahwa </w:t>
      </w:r>
      <w:r w:rsidRPr="003564DA">
        <w:rPr>
          <w:rFonts w:ascii="Times New Roman" w:hAnsi="Times New Roman" w:cs="Times New Roman"/>
          <w:i/>
          <w:sz w:val="24"/>
          <w:szCs w:val="24"/>
        </w:rPr>
        <w:t>coming out</w:t>
      </w:r>
      <w:r>
        <w:rPr>
          <w:rFonts w:ascii="Times New Roman" w:hAnsi="Times New Roman" w:cs="Times New Roman"/>
          <w:sz w:val="24"/>
          <w:szCs w:val="24"/>
        </w:rPr>
        <w:t xml:space="preserve"> dapat meningkatkan kesehatan mental (Beals, 2001), sedangkan studi lain menunjukkan bahwa </w:t>
      </w:r>
      <w:r w:rsidRPr="003564DA">
        <w:rPr>
          <w:rFonts w:ascii="Times New Roman" w:hAnsi="Times New Roman" w:cs="Times New Roman"/>
          <w:i/>
          <w:sz w:val="24"/>
          <w:szCs w:val="24"/>
        </w:rPr>
        <w:t>coming out</w:t>
      </w:r>
      <w:r>
        <w:rPr>
          <w:rFonts w:ascii="Times New Roman" w:hAnsi="Times New Roman" w:cs="Times New Roman"/>
          <w:sz w:val="24"/>
          <w:szCs w:val="24"/>
        </w:rPr>
        <w:t xml:space="preserve"> justru menyebabkan meningkatnya angka kekerasan verbal dan fisik, serta memicu perilaku beresiko (De’Augeli, 1998).</w:t>
      </w:r>
      <w:r w:rsidR="009B7F20">
        <w:rPr>
          <w:rFonts w:ascii="Times New Roman" w:hAnsi="Times New Roman" w:cs="Times New Roman"/>
          <w:sz w:val="24"/>
          <w:szCs w:val="24"/>
        </w:rPr>
        <w:t xml:space="preserve"> Dari penjelasan diatas, dapat dilihat bahwa </w:t>
      </w:r>
      <w:r w:rsidR="009B7F20" w:rsidRPr="009B7F20">
        <w:rPr>
          <w:rFonts w:ascii="Times New Roman" w:hAnsi="Times New Roman" w:cs="Times New Roman"/>
          <w:i/>
          <w:sz w:val="24"/>
          <w:szCs w:val="24"/>
        </w:rPr>
        <w:t>coming out</w:t>
      </w:r>
      <w:r w:rsidR="009B7F20">
        <w:rPr>
          <w:rFonts w:ascii="Times New Roman" w:hAnsi="Times New Roman" w:cs="Times New Roman"/>
          <w:sz w:val="24"/>
          <w:szCs w:val="24"/>
        </w:rPr>
        <w:t xml:space="preserve"> merupakan salah satu faktor kunci terkait dengan kondisi mental kelompok LGB, karena </w:t>
      </w:r>
      <w:r w:rsidR="009B7F20" w:rsidRPr="009B7F20">
        <w:rPr>
          <w:rFonts w:ascii="Times New Roman" w:hAnsi="Times New Roman" w:cs="Times New Roman"/>
          <w:i/>
          <w:sz w:val="24"/>
          <w:szCs w:val="24"/>
        </w:rPr>
        <w:t>coming out</w:t>
      </w:r>
      <w:r w:rsidR="009B7F20">
        <w:rPr>
          <w:rFonts w:ascii="Times New Roman" w:hAnsi="Times New Roman" w:cs="Times New Roman"/>
          <w:sz w:val="24"/>
          <w:szCs w:val="24"/>
        </w:rPr>
        <w:t xml:space="preserve"> berhubungan langsung dengan stress yang timbul akibat merahasiakan orientasi seksual, serta respon-respon negatif maupun positif yang hadir pasca </w:t>
      </w:r>
      <w:r w:rsidR="009B7F20" w:rsidRPr="009B7F20">
        <w:rPr>
          <w:rFonts w:ascii="Times New Roman" w:hAnsi="Times New Roman" w:cs="Times New Roman"/>
          <w:i/>
          <w:sz w:val="24"/>
          <w:szCs w:val="24"/>
        </w:rPr>
        <w:t>coming out</w:t>
      </w:r>
      <w:r w:rsidR="009B7F20">
        <w:rPr>
          <w:rFonts w:ascii="Times New Roman" w:hAnsi="Times New Roman" w:cs="Times New Roman"/>
          <w:sz w:val="24"/>
          <w:szCs w:val="24"/>
        </w:rPr>
        <w:t>.</w:t>
      </w:r>
    </w:p>
    <w:p w:rsidR="0093136A" w:rsidRPr="0093136A" w:rsidRDefault="0093136A" w:rsidP="00CD6AF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Peran orangtua, khususnya dukungan terhadap orientasi seksual anak merupakan faktor penting yang berpengaruh pada kesehatan dan perkembangan anak (Bouris et al., 2010). Terlepas dari hal tersebut, hasil survey menunjukkan </w:t>
      </w:r>
      <w:r>
        <w:rPr>
          <w:rFonts w:ascii="Times New Roman" w:hAnsi="Times New Roman" w:cs="Times New Roman"/>
          <w:sz w:val="24"/>
          <w:szCs w:val="24"/>
        </w:rPr>
        <w:lastRenderedPageBreak/>
        <w:t xml:space="preserve">bahwa sebagian besar orangtua merespon </w:t>
      </w:r>
      <w:r w:rsidRPr="0093136A">
        <w:rPr>
          <w:rFonts w:ascii="Times New Roman" w:hAnsi="Times New Roman" w:cs="Times New Roman"/>
          <w:i/>
          <w:sz w:val="24"/>
          <w:szCs w:val="24"/>
        </w:rPr>
        <w:t>coming out</w:t>
      </w:r>
      <w:r>
        <w:rPr>
          <w:rFonts w:ascii="Times New Roman" w:hAnsi="Times New Roman" w:cs="Times New Roman"/>
          <w:sz w:val="24"/>
          <w:szCs w:val="24"/>
        </w:rPr>
        <w:t xml:space="preserve"> anak secara negatif (Robinson, 1989). Dan hal tersebut diasumsikan berpengaruh pada kondisi kesehatan fisik dan mental anak (Willoughby et al., 2008). Hal ini dibuktikan dengan hasil penelitian terhadap 245 LGB muda yang mendapatkan respon negatif dari orangtua mereka pasca </w:t>
      </w:r>
      <w:r w:rsidRPr="0093136A">
        <w:rPr>
          <w:rFonts w:ascii="Times New Roman" w:hAnsi="Times New Roman" w:cs="Times New Roman"/>
          <w:i/>
          <w:sz w:val="24"/>
          <w:szCs w:val="24"/>
        </w:rPr>
        <w:t>coming out</w:t>
      </w:r>
      <w:r>
        <w:rPr>
          <w:rFonts w:ascii="Times New Roman" w:hAnsi="Times New Roman" w:cs="Times New Roman"/>
          <w:sz w:val="24"/>
          <w:szCs w:val="24"/>
        </w:rPr>
        <w:t xml:space="preserve">, yang menunjukkan kecenderungan tingginya angka upaya bunuh diri, penggunaan obat-obatan terlarang, dan seks bebas. Hal ini menjadikan </w:t>
      </w:r>
      <w:r w:rsidRPr="0093136A">
        <w:rPr>
          <w:rFonts w:ascii="Times New Roman" w:hAnsi="Times New Roman" w:cs="Times New Roman"/>
          <w:i/>
          <w:sz w:val="24"/>
          <w:szCs w:val="24"/>
        </w:rPr>
        <w:t>coming out</w:t>
      </w:r>
      <w:r>
        <w:rPr>
          <w:rFonts w:ascii="Times New Roman" w:hAnsi="Times New Roman" w:cs="Times New Roman"/>
          <w:sz w:val="24"/>
          <w:szCs w:val="24"/>
        </w:rPr>
        <w:t xml:space="preserve"> sebagai sebuah pilihan yang “</w:t>
      </w:r>
      <w:r w:rsidRPr="0093136A">
        <w:rPr>
          <w:rFonts w:ascii="Times New Roman" w:hAnsi="Times New Roman" w:cs="Times New Roman"/>
          <w:i/>
          <w:sz w:val="24"/>
          <w:szCs w:val="24"/>
        </w:rPr>
        <w:t>tidak bijak</w:t>
      </w:r>
      <w:r>
        <w:rPr>
          <w:rFonts w:ascii="Times New Roman" w:hAnsi="Times New Roman" w:cs="Times New Roman"/>
          <w:sz w:val="24"/>
          <w:szCs w:val="24"/>
        </w:rPr>
        <w:t>” untuk dilakukan kelompok LGB muda (Green, 2000).</w:t>
      </w:r>
    </w:p>
    <w:p w:rsidR="0093136A" w:rsidRDefault="0093136A" w:rsidP="00CD6AF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Gambaran </w:t>
      </w:r>
      <w:r w:rsidRPr="0093136A">
        <w:rPr>
          <w:rFonts w:ascii="Times New Roman" w:hAnsi="Times New Roman" w:cs="Times New Roman"/>
          <w:i/>
          <w:sz w:val="24"/>
          <w:szCs w:val="24"/>
        </w:rPr>
        <w:t>coming out</w:t>
      </w:r>
      <w:r>
        <w:rPr>
          <w:rFonts w:ascii="Times New Roman" w:hAnsi="Times New Roman" w:cs="Times New Roman"/>
          <w:sz w:val="24"/>
          <w:szCs w:val="24"/>
        </w:rPr>
        <w:t xml:space="preserve"> yang memiliki berbagai dampak, seperti yang telah dijelaskan diatas menjadi dasar dari hipotesis didalam penelitian ini.</w:t>
      </w:r>
      <w:r w:rsidR="001224D5">
        <w:rPr>
          <w:rFonts w:ascii="Times New Roman" w:hAnsi="Times New Roman" w:cs="Times New Roman"/>
          <w:sz w:val="24"/>
          <w:szCs w:val="24"/>
        </w:rPr>
        <w:t xml:space="preserve"> Adapun hipotesis dalam penelitian ini adalah:</w:t>
      </w:r>
    </w:p>
    <w:p w:rsidR="001224D5" w:rsidRPr="001224D5" w:rsidRDefault="001224D5" w:rsidP="001224D5">
      <w:pPr>
        <w:spacing w:line="360" w:lineRule="auto"/>
        <w:ind w:left="426" w:hanging="426"/>
        <w:jc w:val="both"/>
        <w:rPr>
          <w:rFonts w:ascii="Times New Roman" w:hAnsi="Times New Roman" w:cs="Times New Roman"/>
          <w:sz w:val="24"/>
          <w:szCs w:val="24"/>
        </w:rPr>
      </w:pPr>
      <w:r w:rsidRPr="001224D5">
        <w:rPr>
          <w:rFonts w:ascii="Times New Roman" w:hAnsi="Times New Roman" w:cs="Times New Roman"/>
          <w:sz w:val="24"/>
          <w:szCs w:val="24"/>
        </w:rPr>
        <w:t xml:space="preserve">H1: Kondisi kesehatan dan perilaku sehat kelompok LGB yang belum atau tidak </w:t>
      </w:r>
      <w:r w:rsidRPr="001224D5">
        <w:rPr>
          <w:rFonts w:ascii="Times New Roman" w:hAnsi="Times New Roman" w:cs="Times New Roman"/>
          <w:i/>
          <w:sz w:val="24"/>
          <w:szCs w:val="24"/>
        </w:rPr>
        <w:t>coming out</w:t>
      </w:r>
      <w:r w:rsidRPr="001224D5">
        <w:rPr>
          <w:rFonts w:ascii="Times New Roman" w:hAnsi="Times New Roman" w:cs="Times New Roman"/>
          <w:sz w:val="24"/>
          <w:szCs w:val="24"/>
        </w:rPr>
        <w:t xml:space="preserve"> kepada orangtuanya akan lebih buruk dibandingkan dengan LGB yang sudah coming out.</w:t>
      </w:r>
    </w:p>
    <w:p w:rsidR="001224D5" w:rsidRDefault="001224D5" w:rsidP="001224D5">
      <w:pPr>
        <w:spacing w:line="360" w:lineRule="auto"/>
        <w:ind w:left="426" w:hanging="426"/>
        <w:jc w:val="both"/>
        <w:rPr>
          <w:rFonts w:ascii="Times New Roman" w:hAnsi="Times New Roman" w:cs="Times New Roman"/>
          <w:sz w:val="24"/>
          <w:szCs w:val="24"/>
        </w:rPr>
      </w:pPr>
      <w:r w:rsidRPr="001224D5">
        <w:rPr>
          <w:rFonts w:ascii="Times New Roman" w:hAnsi="Times New Roman" w:cs="Times New Roman"/>
          <w:sz w:val="24"/>
          <w:szCs w:val="24"/>
        </w:rPr>
        <w:t xml:space="preserve">H2: LGB yang </w:t>
      </w:r>
      <w:r w:rsidRPr="001224D5">
        <w:rPr>
          <w:rFonts w:ascii="Times New Roman" w:hAnsi="Times New Roman" w:cs="Times New Roman"/>
          <w:i/>
          <w:sz w:val="24"/>
          <w:szCs w:val="24"/>
        </w:rPr>
        <w:t>come out</w:t>
      </w:r>
      <w:r w:rsidRPr="001224D5">
        <w:rPr>
          <w:rFonts w:ascii="Times New Roman" w:hAnsi="Times New Roman" w:cs="Times New Roman"/>
          <w:sz w:val="24"/>
          <w:szCs w:val="24"/>
        </w:rPr>
        <w:t xml:space="preserve"> dan tidak mendapatkan dukungan dari orangtuanya akan memiliki kondisi kesehatan serta perilaku sehat yang lebih buruk dibandingkan dengan LGB yang mendapatkan dukungan dari orangtuanya pasca coming out.</w:t>
      </w:r>
    </w:p>
    <w:p w:rsidR="002C0D12" w:rsidRDefault="002C0D12" w:rsidP="001224D5">
      <w:pPr>
        <w:spacing w:line="360" w:lineRule="auto"/>
        <w:ind w:left="426" w:hanging="426"/>
        <w:jc w:val="both"/>
        <w:rPr>
          <w:rFonts w:ascii="Times New Roman" w:hAnsi="Times New Roman" w:cs="Times New Roman"/>
          <w:sz w:val="24"/>
          <w:szCs w:val="24"/>
        </w:rPr>
      </w:pPr>
    </w:p>
    <w:p w:rsidR="002C0D12" w:rsidRPr="002C0D12" w:rsidRDefault="002C0D12" w:rsidP="002C0D12">
      <w:pPr>
        <w:spacing w:line="360" w:lineRule="auto"/>
        <w:ind w:left="426" w:hanging="426"/>
        <w:jc w:val="center"/>
        <w:rPr>
          <w:rFonts w:ascii="Times New Roman" w:hAnsi="Times New Roman" w:cs="Times New Roman"/>
          <w:b/>
          <w:sz w:val="28"/>
          <w:szCs w:val="28"/>
        </w:rPr>
      </w:pPr>
      <w:r w:rsidRPr="002C0D12">
        <w:rPr>
          <w:rFonts w:ascii="Times New Roman" w:hAnsi="Times New Roman" w:cs="Times New Roman"/>
          <w:b/>
          <w:sz w:val="28"/>
          <w:szCs w:val="28"/>
        </w:rPr>
        <w:t>Metode</w:t>
      </w:r>
    </w:p>
    <w:p w:rsidR="008079EB" w:rsidRDefault="003564DA" w:rsidP="009819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224D5">
        <w:rPr>
          <w:rFonts w:ascii="Times New Roman" w:hAnsi="Times New Roman" w:cs="Times New Roman"/>
          <w:sz w:val="24"/>
          <w:szCs w:val="24"/>
        </w:rPr>
        <w:t>Penelitian ini menggunakan data hasil survey perilaku beresiko dengan responden yang berusia 18 tahun keatas. Perilaku sehat dan kondisi kesehatan responden diukur melalui variabel faktor dan kondisi kesehatan b</w:t>
      </w:r>
      <w:r w:rsidR="00981991">
        <w:rPr>
          <w:rFonts w:ascii="Times New Roman" w:hAnsi="Times New Roman" w:cs="Times New Roman"/>
          <w:sz w:val="24"/>
          <w:szCs w:val="24"/>
        </w:rPr>
        <w:t>eresiko yang mencakup beberapa dimensi</w:t>
      </w:r>
      <w:r w:rsidR="001224D5">
        <w:rPr>
          <w:rFonts w:ascii="Times New Roman" w:hAnsi="Times New Roman" w:cs="Times New Roman"/>
          <w:sz w:val="24"/>
          <w:szCs w:val="24"/>
        </w:rPr>
        <w:t xml:space="preserve"> yaitu: penggunaan obat-obatan terlarang, </w:t>
      </w:r>
      <w:r w:rsidR="00981991">
        <w:rPr>
          <w:rFonts w:ascii="Times New Roman" w:hAnsi="Times New Roman" w:cs="Times New Roman"/>
          <w:sz w:val="24"/>
          <w:szCs w:val="24"/>
        </w:rPr>
        <w:t>konsumsi alkohol, konsumsi rokok, kesehatan fisik subjektif, kesehatan mental subjektif serta depresi. Untuk dimensi penggunaan obat-obatan terlarang, responden akan dikategorikan “</w:t>
      </w:r>
      <w:r w:rsidR="00981991" w:rsidRPr="00981991">
        <w:rPr>
          <w:rFonts w:ascii="Times New Roman" w:hAnsi="Times New Roman" w:cs="Times New Roman"/>
          <w:i/>
          <w:sz w:val="24"/>
          <w:szCs w:val="24"/>
        </w:rPr>
        <w:t>pernah</w:t>
      </w:r>
      <w:r w:rsidR="00981991">
        <w:rPr>
          <w:rFonts w:ascii="Times New Roman" w:hAnsi="Times New Roman" w:cs="Times New Roman"/>
          <w:sz w:val="24"/>
          <w:szCs w:val="24"/>
        </w:rPr>
        <w:t xml:space="preserve">” apabila responden menggunakan </w:t>
      </w:r>
      <w:r w:rsidR="00981991" w:rsidRPr="00981991">
        <w:rPr>
          <w:rFonts w:ascii="Times New Roman" w:hAnsi="Times New Roman" w:cs="Times New Roman"/>
          <w:sz w:val="24"/>
          <w:szCs w:val="24"/>
        </w:rPr>
        <w:t xml:space="preserve">ganja, kokain, heroin, halusinogen, obat penenang </w:t>
      </w:r>
      <w:r w:rsidR="00981991">
        <w:rPr>
          <w:rFonts w:ascii="Times New Roman" w:hAnsi="Times New Roman" w:cs="Times New Roman"/>
          <w:sz w:val="24"/>
          <w:szCs w:val="24"/>
        </w:rPr>
        <w:t>tanpa resep dokter dan</w:t>
      </w:r>
      <w:r w:rsidR="00981991" w:rsidRPr="00981991">
        <w:rPr>
          <w:rFonts w:ascii="Times New Roman" w:hAnsi="Times New Roman" w:cs="Times New Roman"/>
          <w:sz w:val="24"/>
          <w:szCs w:val="24"/>
        </w:rPr>
        <w:t xml:space="preserve"> oxycontin</w:t>
      </w:r>
      <w:r w:rsidR="00981991">
        <w:rPr>
          <w:rFonts w:ascii="Times New Roman" w:hAnsi="Times New Roman" w:cs="Times New Roman"/>
          <w:sz w:val="24"/>
          <w:szCs w:val="24"/>
        </w:rPr>
        <w:t>. Untuk dimensi konsumsi alkohol, responden dikategotikan “</w:t>
      </w:r>
      <w:r w:rsidR="00981991" w:rsidRPr="00981991">
        <w:rPr>
          <w:rFonts w:ascii="Times New Roman" w:hAnsi="Times New Roman" w:cs="Times New Roman"/>
          <w:i/>
          <w:sz w:val="24"/>
          <w:szCs w:val="24"/>
        </w:rPr>
        <w:t>mengkonsumsi</w:t>
      </w:r>
      <w:r w:rsidR="00981991">
        <w:rPr>
          <w:rFonts w:ascii="Times New Roman" w:hAnsi="Times New Roman" w:cs="Times New Roman"/>
          <w:sz w:val="24"/>
          <w:szCs w:val="24"/>
        </w:rPr>
        <w:t xml:space="preserve">” apabila responden </w:t>
      </w:r>
      <w:r w:rsidR="00981991">
        <w:rPr>
          <w:rFonts w:ascii="Times New Roman" w:hAnsi="Times New Roman" w:cs="Times New Roman"/>
          <w:sz w:val="24"/>
          <w:szCs w:val="24"/>
        </w:rPr>
        <w:lastRenderedPageBreak/>
        <w:t>meminum alkohol lebih dari lima kali didalam satu kegiatan dalam satu bulan terakhir.</w:t>
      </w:r>
    </w:p>
    <w:p w:rsidR="00981991" w:rsidRDefault="00981991" w:rsidP="00981991">
      <w:pPr>
        <w:spacing w:line="360" w:lineRule="auto"/>
        <w:jc w:val="both"/>
        <w:rPr>
          <w:rFonts w:ascii="Times New Roman" w:hAnsi="Times New Roman" w:cs="Times New Roman"/>
          <w:sz w:val="24"/>
          <w:szCs w:val="24"/>
        </w:rPr>
      </w:pPr>
      <w:r>
        <w:rPr>
          <w:rFonts w:ascii="Times New Roman" w:hAnsi="Times New Roman" w:cs="Times New Roman"/>
          <w:sz w:val="24"/>
          <w:szCs w:val="24"/>
        </w:rPr>
        <w:tab/>
        <w:t>Untuk dimensi konsumsi rokok, responden dikategorikan “</w:t>
      </w:r>
      <w:r w:rsidRPr="00981991">
        <w:rPr>
          <w:rFonts w:ascii="Times New Roman" w:hAnsi="Times New Roman" w:cs="Times New Roman"/>
          <w:i/>
          <w:sz w:val="24"/>
          <w:szCs w:val="24"/>
        </w:rPr>
        <w:t>merokok</w:t>
      </w:r>
      <w:r>
        <w:rPr>
          <w:rFonts w:ascii="Times New Roman" w:hAnsi="Times New Roman" w:cs="Times New Roman"/>
          <w:sz w:val="24"/>
          <w:szCs w:val="24"/>
        </w:rPr>
        <w:t xml:space="preserve">” apabila mengkonsumsi rokok baik setiap hari, atau sekali-kali. Kesehatan fisik subjektif diukur melalui pertanyaan apakah responden merasa fisiknya sangat sehat, sehat, biasa saja, </w:t>
      </w:r>
      <w:r w:rsidR="008E6B28">
        <w:rPr>
          <w:rFonts w:ascii="Times New Roman" w:hAnsi="Times New Roman" w:cs="Times New Roman"/>
          <w:sz w:val="24"/>
          <w:szCs w:val="24"/>
        </w:rPr>
        <w:t>cukup</w:t>
      </w:r>
      <w:r>
        <w:rPr>
          <w:rFonts w:ascii="Times New Roman" w:hAnsi="Times New Roman" w:cs="Times New Roman"/>
          <w:sz w:val="24"/>
          <w:szCs w:val="24"/>
        </w:rPr>
        <w:t xml:space="preserve">, atau buruk. Sedangkan kesehatan mental subjektif diukur melalui </w:t>
      </w:r>
      <w:r w:rsidR="008E6B28">
        <w:rPr>
          <w:rFonts w:ascii="Times New Roman" w:hAnsi="Times New Roman" w:cs="Times New Roman"/>
          <w:sz w:val="24"/>
          <w:szCs w:val="24"/>
        </w:rPr>
        <w:t xml:space="preserve">pernyataan responden mengenai kesehatan mentalnya dalam satu bulan terakhir, dengan acuan kondisi mental yang buruk diatas 15 hari sebagai kesehatan mental yang buruk. Tingkat depresi epresi diukur melalui </w:t>
      </w:r>
      <w:r>
        <w:rPr>
          <w:rFonts w:ascii="Times New Roman" w:hAnsi="Times New Roman" w:cs="Times New Roman"/>
          <w:sz w:val="24"/>
          <w:szCs w:val="24"/>
        </w:rPr>
        <w:t>banyaknya hari dimana responden merasa depresi, dengan acuan depresi diatas 15 hari sebagai indikator kesehatan mental yang buruk.</w:t>
      </w:r>
    </w:p>
    <w:p w:rsidR="00981991" w:rsidRDefault="00981991" w:rsidP="0098199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242BD">
        <w:rPr>
          <w:rFonts w:ascii="Times New Roman" w:hAnsi="Times New Roman" w:cs="Times New Roman"/>
          <w:sz w:val="24"/>
          <w:szCs w:val="24"/>
        </w:rPr>
        <w:t xml:space="preserve">Responden juga dikelompokkan melalui orientasi seksualnya. Laki-laki gay dan biseksual dimasukkan kedalam kelompok GB, sedangkan perempuan lesbian dan biseksual dimasukkan kedalam kelompok LB. Pertanyaan mengenai </w:t>
      </w:r>
      <w:r w:rsidR="003242BD" w:rsidRPr="003242BD">
        <w:rPr>
          <w:rFonts w:ascii="Times New Roman" w:hAnsi="Times New Roman" w:cs="Times New Roman"/>
          <w:i/>
          <w:sz w:val="24"/>
          <w:szCs w:val="24"/>
        </w:rPr>
        <w:t>coming out</w:t>
      </w:r>
      <w:r w:rsidR="003242BD">
        <w:rPr>
          <w:rFonts w:ascii="Times New Roman" w:hAnsi="Times New Roman" w:cs="Times New Roman"/>
          <w:sz w:val="24"/>
          <w:szCs w:val="24"/>
        </w:rPr>
        <w:t xml:space="preserve"> diklasifikasikan menjadi “</w:t>
      </w:r>
      <w:r w:rsidR="003242BD" w:rsidRPr="003242BD">
        <w:rPr>
          <w:rFonts w:ascii="Times New Roman" w:hAnsi="Times New Roman" w:cs="Times New Roman"/>
          <w:i/>
          <w:sz w:val="24"/>
          <w:szCs w:val="24"/>
        </w:rPr>
        <w:t>pernah</w:t>
      </w:r>
      <w:r w:rsidR="003242BD">
        <w:rPr>
          <w:rFonts w:ascii="Times New Roman" w:hAnsi="Times New Roman" w:cs="Times New Roman"/>
          <w:sz w:val="24"/>
          <w:szCs w:val="24"/>
        </w:rPr>
        <w:t>” dan “</w:t>
      </w:r>
      <w:r w:rsidR="003242BD" w:rsidRPr="003242BD">
        <w:rPr>
          <w:rFonts w:ascii="Times New Roman" w:hAnsi="Times New Roman" w:cs="Times New Roman"/>
          <w:i/>
          <w:sz w:val="24"/>
          <w:szCs w:val="24"/>
        </w:rPr>
        <w:t>tidak pernah</w:t>
      </w:r>
      <w:r w:rsidR="003242BD">
        <w:rPr>
          <w:rFonts w:ascii="Times New Roman" w:hAnsi="Times New Roman" w:cs="Times New Roman"/>
          <w:sz w:val="24"/>
          <w:szCs w:val="24"/>
        </w:rPr>
        <w:t>”, sedangkan responden yang sudah coming out dan mendapatkan dukungan dari orangtua, baik dukungan yang sifatnya minimal diklasifikasikan sebagai “</w:t>
      </w:r>
      <w:r w:rsidR="003242BD" w:rsidRPr="003242BD">
        <w:rPr>
          <w:rFonts w:ascii="Times New Roman" w:hAnsi="Times New Roman" w:cs="Times New Roman"/>
          <w:i/>
          <w:sz w:val="24"/>
          <w:szCs w:val="24"/>
        </w:rPr>
        <w:t>mendapatkan dukungan orangtua</w:t>
      </w:r>
      <w:r w:rsidR="003242BD">
        <w:rPr>
          <w:rFonts w:ascii="Times New Roman" w:hAnsi="Times New Roman" w:cs="Times New Roman"/>
          <w:sz w:val="24"/>
          <w:szCs w:val="24"/>
        </w:rPr>
        <w:t>”.</w:t>
      </w:r>
    </w:p>
    <w:p w:rsidR="002C0D12" w:rsidRDefault="002C0D12" w:rsidP="00981991">
      <w:pPr>
        <w:spacing w:line="360" w:lineRule="auto"/>
        <w:jc w:val="both"/>
        <w:rPr>
          <w:rFonts w:ascii="Times New Roman" w:hAnsi="Times New Roman" w:cs="Times New Roman"/>
          <w:sz w:val="24"/>
          <w:szCs w:val="24"/>
        </w:rPr>
      </w:pPr>
    </w:p>
    <w:p w:rsidR="002C0D12" w:rsidRDefault="002C0D12" w:rsidP="002C0D12">
      <w:pPr>
        <w:spacing w:line="360" w:lineRule="auto"/>
        <w:jc w:val="center"/>
        <w:rPr>
          <w:rFonts w:ascii="Times New Roman" w:hAnsi="Times New Roman" w:cs="Times New Roman"/>
          <w:b/>
          <w:sz w:val="28"/>
          <w:szCs w:val="28"/>
        </w:rPr>
      </w:pPr>
      <w:r w:rsidRPr="002C0D12">
        <w:rPr>
          <w:rFonts w:ascii="Times New Roman" w:hAnsi="Times New Roman" w:cs="Times New Roman"/>
          <w:b/>
          <w:sz w:val="28"/>
          <w:szCs w:val="28"/>
        </w:rPr>
        <w:t>Hasil</w:t>
      </w:r>
    </w:p>
    <w:p w:rsidR="00B02BA6" w:rsidRDefault="002C0D12"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5723 responden yang berusia 18-60 tahun, hanya 3% (177 responden) yang mengaku sebagai LGB. </w:t>
      </w:r>
      <w:r w:rsidR="00472252">
        <w:rPr>
          <w:rFonts w:ascii="Times New Roman" w:hAnsi="Times New Roman" w:cs="Times New Roman"/>
          <w:sz w:val="24"/>
          <w:szCs w:val="24"/>
        </w:rPr>
        <w:t>Dari 177 responden LGB, diperoleh data sebagai berikut:</w:t>
      </w:r>
    </w:p>
    <w:tbl>
      <w:tblPr>
        <w:tblStyle w:val="TableGrid"/>
        <w:tblW w:w="0" w:type="auto"/>
        <w:tblLook w:val="04A0"/>
      </w:tblPr>
      <w:tblGrid>
        <w:gridCol w:w="1642"/>
        <w:gridCol w:w="1390"/>
        <w:gridCol w:w="1563"/>
        <w:gridCol w:w="1631"/>
        <w:gridCol w:w="1927"/>
      </w:tblGrid>
      <w:tr w:rsidR="00472252" w:rsidTr="00FF34D2">
        <w:tc>
          <w:tcPr>
            <w:tcW w:w="4595" w:type="dxa"/>
            <w:gridSpan w:val="3"/>
          </w:tcPr>
          <w:p w:rsidR="00150D7B" w:rsidRDefault="00150D7B" w:rsidP="00472252">
            <w:pPr>
              <w:spacing w:line="360" w:lineRule="auto"/>
              <w:jc w:val="center"/>
              <w:rPr>
                <w:rFonts w:ascii="Times New Roman" w:hAnsi="Times New Roman" w:cs="Times New Roman"/>
                <w:sz w:val="24"/>
                <w:szCs w:val="24"/>
              </w:rPr>
            </w:pPr>
          </w:p>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Lesbian, Gay dan Biseksual (LGB) % (n=177)</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Heteroseksual % (n=5481)</w:t>
            </w:r>
          </w:p>
        </w:tc>
      </w:tr>
      <w:tr w:rsidR="008E6B28" w:rsidTr="006B7699">
        <w:tc>
          <w:tcPr>
            <w:tcW w:w="1642" w:type="dxa"/>
            <w:vMerge w:val="restart"/>
          </w:tcPr>
          <w:p w:rsidR="008E6B28" w:rsidRDefault="008E6B28"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953" w:type="dxa"/>
            <w:gridSpan w:val="2"/>
          </w:tcPr>
          <w:p w:rsidR="008E6B28" w:rsidRDefault="008E6B28"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1631" w:type="dxa"/>
          </w:tcPr>
          <w:p w:rsidR="008E6B28"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55.6</w:t>
            </w:r>
          </w:p>
        </w:tc>
        <w:tc>
          <w:tcPr>
            <w:tcW w:w="1927" w:type="dxa"/>
          </w:tcPr>
          <w:p w:rsidR="008E6B28"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49.3</w:t>
            </w:r>
          </w:p>
        </w:tc>
      </w:tr>
      <w:tr w:rsidR="00472252" w:rsidTr="009A533C">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2953" w:type="dxa"/>
            <w:gridSpan w:val="2"/>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472252" w:rsidTr="008E6B28">
        <w:tc>
          <w:tcPr>
            <w:tcW w:w="1642" w:type="dxa"/>
            <w:vMerge w:val="restart"/>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Faktor dan Kondisi Kesehatan Beresiko</w:t>
            </w:r>
          </w:p>
        </w:tc>
        <w:tc>
          <w:tcPr>
            <w:tcW w:w="1390" w:type="dxa"/>
            <w:vMerge w:val="restart"/>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Penggunaan zat adiktif dan berbahaya</w:t>
            </w: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Pengguna obat-obatan terlarang.</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82.0</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52.6</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tcPr>
          <w:p w:rsidR="00472252" w:rsidRDefault="00472252" w:rsidP="00472252">
            <w:pPr>
              <w:spacing w:line="360" w:lineRule="auto"/>
              <w:jc w:val="center"/>
              <w:rPr>
                <w:rFonts w:ascii="Times New Roman" w:hAnsi="Times New Roman" w:cs="Times New Roman"/>
                <w:sz w:val="24"/>
                <w:szCs w:val="24"/>
              </w:rPr>
            </w:pP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Penggunaan obat-obatan terlarang dalam 30 hari terakhir.</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tcPr>
          <w:p w:rsidR="00472252" w:rsidRDefault="00472252" w:rsidP="00472252">
            <w:pPr>
              <w:spacing w:line="360" w:lineRule="auto"/>
              <w:jc w:val="center"/>
              <w:rPr>
                <w:rFonts w:ascii="Times New Roman" w:hAnsi="Times New Roman" w:cs="Times New Roman"/>
                <w:sz w:val="24"/>
                <w:szCs w:val="24"/>
              </w:rPr>
            </w:pP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Peminum.</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21.7</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tcPr>
          <w:p w:rsidR="00472252" w:rsidRDefault="00472252" w:rsidP="00472252">
            <w:pPr>
              <w:spacing w:line="360" w:lineRule="auto"/>
              <w:jc w:val="center"/>
              <w:rPr>
                <w:rFonts w:ascii="Times New Roman" w:hAnsi="Times New Roman" w:cs="Times New Roman"/>
                <w:sz w:val="24"/>
                <w:szCs w:val="24"/>
              </w:rPr>
            </w:pP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Perokok.</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20.7</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val="restart"/>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Kesehatan fisik dan mental</w:t>
            </w: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Kondisi fisik cukup dan buruk.</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tcPr>
          <w:p w:rsidR="00472252" w:rsidRDefault="00472252" w:rsidP="00472252">
            <w:pPr>
              <w:spacing w:line="360" w:lineRule="auto"/>
              <w:jc w:val="center"/>
              <w:rPr>
                <w:rFonts w:ascii="Times New Roman" w:hAnsi="Times New Roman" w:cs="Times New Roman"/>
                <w:sz w:val="24"/>
                <w:szCs w:val="24"/>
              </w:rPr>
            </w:pP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Kondisi mental buruk.</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tcPr>
          <w:p w:rsidR="00472252" w:rsidRDefault="00472252" w:rsidP="00472252">
            <w:pPr>
              <w:spacing w:line="360" w:lineRule="auto"/>
              <w:jc w:val="center"/>
              <w:rPr>
                <w:rFonts w:ascii="Times New Roman" w:hAnsi="Times New Roman" w:cs="Times New Roman"/>
                <w:sz w:val="24"/>
                <w:szCs w:val="24"/>
              </w:rPr>
            </w:pP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Tingkat depresi tinggi.</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val="restart"/>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Akses Asuransi</w:t>
            </w: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Tidak mempunyai asuransi.</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472252" w:rsidTr="008E6B28">
        <w:tc>
          <w:tcPr>
            <w:tcW w:w="1642" w:type="dxa"/>
            <w:vMerge/>
          </w:tcPr>
          <w:p w:rsidR="00472252" w:rsidRDefault="00472252" w:rsidP="00472252">
            <w:pPr>
              <w:spacing w:line="360" w:lineRule="auto"/>
              <w:jc w:val="center"/>
              <w:rPr>
                <w:rFonts w:ascii="Times New Roman" w:hAnsi="Times New Roman" w:cs="Times New Roman"/>
                <w:sz w:val="24"/>
                <w:szCs w:val="24"/>
              </w:rPr>
            </w:pPr>
          </w:p>
        </w:tc>
        <w:tc>
          <w:tcPr>
            <w:tcW w:w="1390" w:type="dxa"/>
            <w:vMerge/>
          </w:tcPr>
          <w:p w:rsidR="00472252" w:rsidRDefault="00472252" w:rsidP="00472252">
            <w:pPr>
              <w:spacing w:line="360" w:lineRule="auto"/>
              <w:jc w:val="center"/>
              <w:rPr>
                <w:rFonts w:ascii="Times New Roman" w:hAnsi="Times New Roman" w:cs="Times New Roman"/>
                <w:sz w:val="24"/>
                <w:szCs w:val="24"/>
              </w:rPr>
            </w:pPr>
          </w:p>
        </w:tc>
        <w:tc>
          <w:tcPr>
            <w:tcW w:w="1563"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Tidak mempunyai dokter pribadi.</w:t>
            </w:r>
          </w:p>
        </w:tc>
        <w:tc>
          <w:tcPr>
            <w:tcW w:w="1631"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927" w:type="dxa"/>
          </w:tcPr>
          <w:p w:rsidR="00472252" w:rsidRDefault="00472252" w:rsidP="00472252">
            <w:pPr>
              <w:spacing w:line="360" w:lineRule="auto"/>
              <w:jc w:val="center"/>
              <w:rPr>
                <w:rFonts w:ascii="Times New Roman" w:hAnsi="Times New Roman" w:cs="Times New Roman"/>
                <w:sz w:val="24"/>
                <w:szCs w:val="24"/>
              </w:rPr>
            </w:pPr>
            <w:r>
              <w:rPr>
                <w:rFonts w:ascii="Times New Roman" w:hAnsi="Times New Roman" w:cs="Times New Roman"/>
                <w:sz w:val="24"/>
                <w:szCs w:val="24"/>
              </w:rPr>
              <w:t>14.5</w:t>
            </w:r>
          </w:p>
        </w:tc>
      </w:tr>
    </w:tbl>
    <w:p w:rsidR="008E6B28" w:rsidRDefault="00472252"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Tabel 1. Karakteristik faktor dan kondisi kesehatan beresiko.</w:t>
      </w:r>
    </w:p>
    <w:p w:rsidR="00472252" w:rsidRDefault="00472252"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25896">
        <w:rPr>
          <w:rFonts w:ascii="Times New Roman" w:hAnsi="Times New Roman" w:cs="Times New Roman"/>
          <w:sz w:val="24"/>
          <w:szCs w:val="24"/>
        </w:rPr>
        <w:t xml:space="preserve">Tabel diatas menunjukkan kecenderungan nilai faktor dan kondisi kesehatan beresiko yang lebih rendah pada responden LGB pada hampir seluruh indikator kecuali kondisi fisik buruk dan kepemilikan asuransi. Hal ini dapat membuktikan bahwa kelompok LGB terbukti rentan terhadap perilaku beresiko dan kondisi kesehatan yang buruk. Lebih lanjut, untuk mengetahui gambaran </w:t>
      </w:r>
      <w:r w:rsidR="00A25896" w:rsidRPr="00A25896">
        <w:rPr>
          <w:rFonts w:ascii="Times New Roman" w:hAnsi="Times New Roman" w:cs="Times New Roman"/>
          <w:i/>
          <w:sz w:val="24"/>
          <w:szCs w:val="24"/>
        </w:rPr>
        <w:lastRenderedPageBreak/>
        <w:t>coming out</w:t>
      </w:r>
      <w:r w:rsidR="00A25896">
        <w:rPr>
          <w:rFonts w:ascii="Times New Roman" w:hAnsi="Times New Roman" w:cs="Times New Roman"/>
          <w:i/>
          <w:sz w:val="24"/>
          <w:szCs w:val="24"/>
        </w:rPr>
        <w:t xml:space="preserve"> </w:t>
      </w:r>
      <w:r w:rsidR="00A25896">
        <w:rPr>
          <w:rFonts w:ascii="Times New Roman" w:hAnsi="Times New Roman" w:cs="Times New Roman"/>
          <w:sz w:val="24"/>
          <w:szCs w:val="24"/>
        </w:rPr>
        <w:t xml:space="preserve">dan respon orangtua terhadap kelompok LGB, dapat dilihat tabel berikut: </w:t>
      </w:r>
    </w:p>
    <w:tbl>
      <w:tblPr>
        <w:tblStyle w:val="TableGrid"/>
        <w:tblW w:w="0" w:type="auto"/>
        <w:tblLook w:val="04A0"/>
      </w:tblPr>
      <w:tblGrid>
        <w:gridCol w:w="2294"/>
        <w:gridCol w:w="1747"/>
        <w:gridCol w:w="1947"/>
        <w:gridCol w:w="2165"/>
      </w:tblGrid>
      <w:tr w:rsidR="009A647B" w:rsidTr="00E351EF">
        <w:tc>
          <w:tcPr>
            <w:tcW w:w="4041" w:type="dxa"/>
            <w:gridSpan w:val="2"/>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Laki-laki GB (n=90)</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Perempuan LB (n=87)</w:t>
            </w:r>
          </w:p>
        </w:tc>
      </w:tr>
      <w:tr w:rsidR="009A647B" w:rsidTr="009A647B">
        <w:trPr>
          <w:trHeight w:val="1079"/>
        </w:trPr>
        <w:tc>
          <w:tcPr>
            <w:tcW w:w="2294" w:type="dxa"/>
            <w:vMerge w:val="restart"/>
          </w:tcPr>
          <w:p w:rsidR="009A647B" w:rsidRDefault="009A647B"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Apakah anda pernah membicarakan identitas seksual anda (LGB) kepada orangtua anda?</w:t>
            </w: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72.8</w:t>
            </w:r>
          </w:p>
        </w:tc>
      </w:tr>
      <w:tr w:rsidR="009A647B" w:rsidTr="00A25896">
        <w:tc>
          <w:tcPr>
            <w:tcW w:w="2294" w:type="dxa"/>
            <w:vMerge/>
          </w:tcPr>
          <w:p w:rsidR="009A647B" w:rsidRDefault="009A647B" w:rsidP="002C0D12">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27.2</w:t>
            </w:r>
          </w:p>
        </w:tc>
      </w:tr>
      <w:tr w:rsidR="009A647B" w:rsidTr="00A25896">
        <w:tc>
          <w:tcPr>
            <w:tcW w:w="2294" w:type="dxa"/>
            <w:vMerge w:val="restart"/>
          </w:tcPr>
          <w:p w:rsidR="009A647B" w:rsidRDefault="009A647B"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Kepada siapa anda pertama kali berbicara?</w:t>
            </w: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Ibu</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87.8</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78.4</w:t>
            </w:r>
          </w:p>
        </w:tc>
      </w:tr>
      <w:tr w:rsidR="009A647B" w:rsidTr="00A25896">
        <w:tc>
          <w:tcPr>
            <w:tcW w:w="2294" w:type="dxa"/>
            <w:vMerge/>
          </w:tcPr>
          <w:p w:rsidR="009A647B" w:rsidRDefault="009A647B" w:rsidP="002C0D12">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Ayah</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9A647B" w:rsidTr="00A25896">
        <w:tc>
          <w:tcPr>
            <w:tcW w:w="2294" w:type="dxa"/>
            <w:vMerge/>
          </w:tcPr>
          <w:p w:rsidR="009A647B" w:rsidRDefault="009A647B" w:rsidP="002C0D12">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Ibu angkat</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9A647B" w:rsidTr="00A25896">
        <w:tc>
          <w:tcPr>
            <w:tcW w:w="2294" w:type="dxa"/>
            <w:vMerge/>
          </w:tcPr>
          <w:p w:rsidR="009A647B" w:rsidRDefault="009A647B" w:rsidP="002C0D12">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Ayah angkat</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9A647B" w:rsidTr="009A647B">
        <w:trPr>
          <w:trHeight w:val="849"/>
        </w:trPr>
        <w:tc>
          <w:tcPr>
            <w:tcW w:w="2294" w:type="dxa"/>
            <w:vMerge w:val="restart"/>
          </w:tcPr>
          <w:p w:rsidR="009A647B" w:rsidRDefault="009A647B"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Apakah orangtua anda memberikan dukungan baik sosial maupun emosional?</w:t>
            </w: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68.6</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9A647B" w:rsidTr="00AF66C5">
        <w:tc>
          <w:tcPr>
            <w:tcW w:w="2294" w:type="dxa"/>
            <w:vMerge/>
          </w:tcPr>
          <w:p w:rsidR="009A647B" w:rsidRDefault="009A647B" w:rsidP="00AF66C5">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Tidak</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9A647B" w:rsidTr="00AF66C5">
        <w:tc>
          <w:tcPr>
            <w:tcW w:w="2294" w:type="dxa"/>
            <w:vMerge w:val="restart"/>
          </w:tcPr>
          <w:p w:rsidR="009A647B" w:rsidRDefault="009A647B" w:rsidP="00AF66C5">
            <w:pPr>
              <w:spacing w:line="360" w:lineRule="auto"/>
              <w:jc w:val="both"/>
              <w:rPr>
                <w:rFonts w:ascii="Times New Roman" w:hAnsi="Times New Roman" w:cs="Times New Roman"/>
                <w:sz w:val="24"/>
                <w:szCs w:val="24"/>
              </w:rPr>
            </w:pPr>
            <w:r>
              <w:rPr>
                <w:rFonts w:ascii="Times New Roman" w:hAnsi="Times New Roman" w:cs="Times New Roman"/>
                <w:sz w:val="24"/>
                <w:szCs w:val="24"/>
              </w:rPr>
              <w:t>Berapa usia anda saat membicarakan identitas seksual kepada orangtua anda?</w:t>
            </w: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&lt;20 tahun</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34.9</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30.4</w:t>
            </w:r>
          </w:p>
        </w:tc>
      </w:tr>
      <w:tr w:rsidR="009A647B" w:rsidTr="00AF66C5">
        <w:tc>
          <w:tcPr>
            <w:tcW w:w="2294" w:type="dxa"/>
            <w:vMerge/>
          </w:tcPr>
          <w:p w:rsidR="009A647B" w:rsidRDefault="009A647B" w:rsidP="00AF66C5">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20-24 tahun</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35.9</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30.8</w:t>
            </w:r>
          </w:p>
        </w:tc>
      </w:tr>
      <w:tr w:rsidR="009A647B" w:rsidTr="00AF66C5">
        <w:tc>
          <w:tcPr>
            <w:tcW w:w="2294" w:type="dxa"/>
            <w:vMerge/>
          </w:tcPr>
          <w:p w:rsidR="009A647B" w:rsidRDefault="009A647B" w:rsidP="00AF66C5">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25-29 tahun</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14.9</w:t>
            </w:r>
          </w:p>
        </w:tc>
      </w:tr>
      <w:tr w:rsidR="009A647B" w:rsidTr="00AF66C5">
        <w:tc>
          <w:tcPr>
            <w:tcW w:w="2294" w:type="dxa"/>
            <w:vMerge/>
          </w:tcPr>
          <w:p w:rsidR="009A647B" w:rsidRDefault="009A647B" w:rsidP="00AF66C5">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&gt;30 tahun</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23.8</w:t>
            </w:r>
          </w:p>
        </w:tc>
      </w:tr>
      <w:tr w:rsidR="009A647B" w:rsidTr="00AF66C5">
        <w:tc>
          <w:tcPr>
            <w:tcW w:w="2294" w:type="dxa"/>
            <w:vMerge/>
          </w:tcPr>
          <w:p w:rsidR="009A647B" w:rsidRDefault="009A647B" w:rsidP="00AF66C5">
            <w:pPr>
              <w:spacing w:line="360" w:lineRule="auto"/>
              <w:jc w:val="both"/>
              <w:rPr>
                <w:rFonts w:ascii="Times New Roman" w:hAnsi="Times New Roman" w:cs="Times New Roman"/>
                <w:sz w:val="24"/>
                <w:szCs w:val="24"/>
              </w:rPr>
            </w:pPr>
          </w:p>
        </w:tc>
        <w:tc>
          <w:tcPr>
            <w:tcW w:w="17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mean</w:t>
            </w:r>
          </w:p>
        </w:tc>
        <w:tc>
          <w:tcPr>
            <w:tcW w:w="1947"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25.64</w:t>
            </w:r>
          </w:p>
        </w:tc>
        <w:tc>
          <w:tcPr>
            <w:tcW w:w="2165" w:type="dxa"/>
          </w:tcPr>
          <w:p w:rsidR="009A647B" w:rsidRDefault="009A647B" w:rsidP="009A647B">
            <w:pPr>
              <w:spacing w:line="360" w:lineRule="auto"/>
              <w:jc w:val="center"/>
              <w:rPr>
                <w:rFonts w:ascii="Times New Roman" w:hAnsi="Times New Roman" w:cs="Times New Roman"/>
                <w:sz w:val="24"/>
                <w:szCs w:val="24"/>
              </w:rPr>
            </w:pPr>
            <w:r>
              <w:rPr>
                <w:rFonts w:ascii="Times New Roman" w:hAnsi="Times New Roman" w:cs="Times New Roman"/>
                <w:sz w:val="24"/>
                <w:szCs w:val="24"/>
              </w:rPr>
              <w:t>23.8</w:t>
            </w:r>
          </w:p>
        </w:tc>
      </w:tr>
    </w:tbl>
    <w:p w:rsidR="00A25896" w:rsidRDefault="009A647B"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Tabel 2. Prevalensi pengakuan orientasi seksual dan variabel terkait.</w:t>
      </w:r>
    </w:p>
    <w:p w:rsidR="009A647B" w:rsidRDefault="009A647B"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Tabel diatas menunjukkan bahwa mayoritas responden LGB sudah </w:t>
      </w:r>
      <w:r w:rsidRPr="009A647B">
        <w:rPr>
          <w:rFonts w:ascii="Times New Roman" w:hAnsi="Times New Roman" w:cs="Times New Roman"/>
          <w:i/>
          <w:sz w:val="24"/>
          <w:szCs w:val="24"/>
        </w:rPr>
        <w:t>coming out</w:t>
      </w:r>
      <w:r w:rsidR="00AC340A">
        <w:rPr>
          <w:rFonts w:ascii="Times New Roman" w:hAnsi="Times New Roman" w:cs="Times New Roman"/>
          <w:sz w:val="24"/>
          <w:szCs w:val="24"/>
        </w:rPr>
        <w:t xml:space="preserve"> kepada orangtuanya. </w:t>
      </w:r>
      <w:r>
        <w:rPr>
          <w:rFonts w:ascii="Times New Roman" w:hAnsi="Times New Roman" w:cs="Times New Roman"/>
          <w:sz w:val="24"/>
          <w:szCs w:val="24"/>
        </w:rPr>
        <w:t>Mayoritas responden LGB menceritakan identitas seks</w:t>
      </w:r>
      <w:r w:rsidR="00AC340A">
        <w:rPr>
          <w:rFonts w:ascii="Times New Roman" w:hAnsi="Times New Roman" w:cs="Times New Roman"/>
          <w:sz w:val="24"/>
          <w:szCs w:val="24"/>
        </w:rPr>
        <w:t xml:space="preserve">ual mereka pada ibu biologisnya, dan mendapatkan dukungan dari orangtua mereka. Uji statistik kemudian dilakukan untuk melihat hubungan antara </w:t>
      </w:r>
      <w:r w:rsidR="00AC340A" w:rsidRPr="00AC340A">
        <w:rPr>
          <w:rFonts w:ascii="Times New Roman" w:hAnsi="Times New Roman" w:cs="Times New Roman"/>
          <w:i/>
          <w:sz w:val="24"/>
          <w:szCs w:val="24"/>
        </w:rPr>
        <w:t>coming out</w:t>
      </w:r>
      <w:r w:rsidR="00AC340A">
        <w:rPr>
          <w:rFonts w:ascii="Times New Roman" w:hAnsi="Times New Roman" w:cs="Times New Roman"/>
          <w:sz w:val="24"/>
          <w:szCs w:val="24"/>
        </w:rPr>
        <w:t xml:space="preserve">, dukungan orangtua, dan kondisi kesehatan LGB. Hasil uji statistik menunjukkan bahwa pada kelompok perempuan LB, merahasiakan orientasi seksual berhubungan dengan meningkatnya angka penggunaan obat-obatan terlarang dalam satu bulan terakhir sebesar 12,16% (CI 95%), kondisi kesehatan </w:t>
      </w:r>
      <w:r w:rsidR="00AC340A">
        <w:rPr>
          <w:rFonts w:ascii="Times New Roman" w:hAnsi="Times New Roman" w:cs="Times New Roman"/>
          <w:sz w:val="24"/>
          <w:szCs w:val="24"/>
        </w:rPr>
        <w:lastRenderedPageBreak/>
        <w:t>subjektif yang cukup dan buruk sebesar 5.95% (CI 95%) dan depresi diatas 15 hari dalam satu bulan sebesar 5.95% (CI 95%)</w:t>
      </w:r>
      <w:r w:rsidR="00324041">
        <w:rPr>
          <w:rFonts w:ascii="Times New Roman" w:hAnsi="Times New Roman" w:cs="Times New Roman"/>
          <w:sz w:val="24"/>
          <w:szCs w:val="24"/>
        </w:rPr>
        <w:t xml:space="preserve">. Sedangkan bagi responden laki-laki GB, tidak ditemukan hubungan antara </w:t>
      </w:r>
      <w:r w:rsidR="00324041" w:rsidRPr="00324041">
        <w:rPr>
          <w:rFonts w:ascii="Times New Roman" w:hAnsi="Times New Roman" w:cs="Times New Roman"/>
          <w:i/>
          <w:sz w:val="24"/>
          <w:szCs w:val="24"/>
        </w:rPr>
        <w:t>coming out</w:t>
      </w:r>
      <w:r w:rsidR="00324041">
        <w:rPr>
          <w:rFonts w:ascii="Times New Roman" w:hAnsi="Times New Roman" w:cs="Times New Roman"/>
          <w:sz w:val="24"/>
          <w:szCs w:val="24"/>
        </w:rPr>
        <w:t xml:space="preserve"> dan kondisi kesehatannya.</w:t>
      </w:r>
    </w:p>
    <w:p w:rsidR="00324041" w:rsidRDefault="00324041" w:rsidP="002C0D12">
      <w:pPr>
        <w:spacing w:line="360" w:lineRule="auto"/>
        <w:jc w:val="both"/>
        <w:rPr>
          <w:rFonts w:ascii="Times New Roman" w:hAnsi="Times New Roman" w:cs="Times New Roman"/>
          <w:sz w:val="24"/>
          <w:szCs w:val="24"/>
        </w:rPr>
      </w:pPr>
      <w:r>
        <w:rPr>
          <w:rFonts w:ascii="Times New Roman" w:hAnsi="Times New Roman" w:cs="Times New Roman"/>
          <w:sz w:val="24"/>
          <w:szCs w:val="24"/>
        </w:rPr>
        <w:tab/>
        <w:t>Lebih lanjut, uji statistik menunjukkan hubungan antara respon negatif orangtua terhadap orientasi seksual anak dengan faktor dan kondisi kesehatan beresiko responden LGB. Diantara laki-laki GB, respon negatif berasosiasi dengan peningkatan konsumsi alkohol sebesar 6.94% (CI 95%) dan depresi diatas 15 hari dalam satu bulan terakhir sebesar 6.08% (CI 95%). Dan diantara perempuan LB, respon negatif orangtua berasosiasi dengan peningkatan konsumsi obat-obatan terlarang sebesar 11,43% (CI 95%) dan depresi diatas 15 hari dalam satu bulan terakhir sebanyak 5,51% (CI 95%) jika dibandingkan dengan responden heteroseksual.</w:t>
      </w:r>
    </w:p>
    <w:p w:rsidR="00324041" w:rsidRDefault="00324041" w:rsidP="002C0D12">
      <w:pPr>
        <w:spacing w:line="360" w:lineRule="auto"/>
        <w:jc w:val="both"/>
        <w:rPr>
          <w:rFonts w:ascii="Times New Roman" w:hAnsi="Times New Roman" w:cs="Times New Roman"/>
          <w:sz w:val="24"/>
          <w:szCs w:val="24"/>
        </w:rPr>
      </w:pPr>
    </w:p>
    <w:p w:rsidR="00324041" w:rsidRDefault="00324041" w:rsidP="00324041">
      <w:pPr>
        <w:spacing w:line="360" w:lineRule="auto"/>
        <w:jc w:val="center"/>
        <w:rPr>
          <w:rFonts w:ascii="Times New Roman" w:hAnsi="Times New Roman" w:cs="Times New Roman"/>
          <w:b/>
          <w:sz w:val="28"/>
          <w:szCs w:val="28"/>
        </w:rPr>
      </w:pPr>
      <w:r w:rsidRPr="00324041">
        <w:rPr>
          <w:rFonts w:ascii="Times New Roman" w:hAnsi="Times New Roman" w:cs="Times New Roman"/>
          <w:b/>
          <w:sz w:val="28"/>
          <w:szCs w:val="28"/>
        </w:rPr>
        <w:t>Simpulan</w:t>
      </w:r>
    </w:p>
    <w:p w:rsidR="00324041" w:rsidRDefault="00324041" w:rsidP="0032404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terdapat hubungan antara </w:t>
      </w:r>
      <w:r w:rsidRPr="00324041">
        <w:rPr>
          <w:rFonts w:ascii="Times New Roman" w:hAnsi="Times New Roman" w:cs="Times New Roman"/>
          <w:i/>
          <w:sz w:val="24"/>
          <w:szCs w:val="24"/>
        </w:rPr>
        <w:t xml:space="preserve">coming out </w:t>
      </w:r>
      <w:r>
        <w:rPr>
          <w:rFonts w:ascii="Times New Roman" w:hAnsi="Times New Roman" w:cs="Times New Roman"/>
          <w:sz w:val="24"/>
          <w:szCs w:val="24"/>
        </w:rPr>
        <w:t xml:space="preserve">dengan faktor dan kondisi kesehatan beresiko responden perempuan LB, namun tidak pada laki-laki GB. </w:t>
      </w:r>
      <w:r w:rsidR="00F87716">
        <w:rPr>
          <w:rFonts w:ascii="Times New Roman" w:hAnsi="Times New Roman" w:cs="Times New Roman"/>
          <w:sz w:val="24"/>
          <w:szCs w:val="24"/>
        </w:rPr>
        <w:t xml:space="preserve">Respon negatif orangtua pasca </w:t>
      </w:r>
      <w:r w:rsidR="00F87716" w:rsidRPr="00F87716">
        <w:rPr>
          <w:rFonts w:ascii="Times New Roman" w:hAnsi="Times New Roman" w:cs="Times New Roman"/>
          <w:i/>
          <w:sz w:val="24"/>
          <w:szCs w:val="24"/>
        </w:rPr>
        <w:t>coming out</w:t>
      </w:r>
      <w:r w:rsidR="00F87716">
        <w:rPr>
          <w:rFonts w:ascii="Times New Roman" w:hAnsi="Times New Roman" w:cs="Times New Roman"/>
          <w:sz w:val="24"/>
          <w:szCs w:val="24"/>
        </w:rPr>
        <w:t xml:space="preserve"> juga memiliki hubungan dengan peningkatan konsumsi alkohol dan depresi pada responden laki-laki GB, dan peningkatan konsumsi obat-obatan terlarang serta depresi pada responden perempuan LB.</w:t>
      </w:r>
    </w:p>
    <w:p w:rsidR="00F87716" w:rsidRDefault="00F87716" w:rsidP="0032404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Meskipun uji statistik menunjukkan adanya hubungan antara </w:t>
      </w:r>
      <w:r w:rsidRPr="00F87716">
        <w:rPr>
          <w:rFonts w:ascii="Times New Roman" w:hAnsi="Times New Roman" w:cs="Times New Roman"/>
          <w:i/>
          <w:sz w:val="24"/>
          <w:szCs w:val="24"/>
        </w:rPr>
        <w:t>coming out</w:t>
      </w:r>
      <w:r>
        <w:rPr>
          <w:rFonts w:ascii="Times New Roman" w:hAnsi="Times New Roman" w:cs="Times New Roman"/>
          <w:sz w:val="24"/>
          <w:szCs w:val="24"/>
        </w:rPr>
        <w:t xml:space="preserve"> dan respon orangtua terhadap faktor dan kondisi kesehatan beresiko responden, perlu diingat bahwa kemampuan responden untuk melakukan coping terhadap tekanan-tekanan tersebut tidak turut diukur dalam penelitian ini. Hal ini menegaskan bahwa </w:t>
      </w:r>
      <w:r w:rsidRPr="00F87716">
        <w:rPr>
          <w:rFonts w:ascii="Times New Roman" w:hAnsi="Times New Roman" w:cs="Times New Roman"/>
          <w:i/>
          <w:sz w:val="24"/>
          <w:szCs w:val="24"/>
        </w:rPr>
        <w:t>coming out</w:t>
      </w:r>
      <w:r>
        <w:rPr>
          <w:rFonts w:ascii="Times New Roman" w:hAnsi="Times New Roman" w:cs="Times New Roman"/>
          <w:i/>
          <w:sz w:val="24"/>
          <w:szCs w:val="24"/>
        </w:rPr>
        <w:t xml:space="preserve"> </w:t>
      </w:r>
      <w:r>
        <w:rPr>
          <w:rFonts w:ascii="Times New Roman" w:hAnsi="Times New Roman" w:cs="Times New Roman"/>
          <w:sz w:val="24"/>
          <w:szCs w:val="24"/>
        </w:rPr>
        <w:t>dan respon orangtua bukanlah satu-satunya faktor yang determinan terhadap faktor dan kondisi kesehatan beresiko responden.</w:t>
      </w:r>
    </w:p>
    <w:p w:rsidR="00F87716" w:rsidRPr="00F87716" w:rsidRDefault="00F87716" w:rsidP="0032404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sectPr w:rsidR="00F87716" w:rsidRPr="00F87716" w:rsidSect="00F30271">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ABC" w:rsidRDefault="00B03ABC" w:rsidP="007E1A05">
      <w:pPr>
        <w:spacing w:after="0" w:line="240" w:lineRule="auto"/>
      </w:pPr>
      <w:r>
        <w:separator/>
      </w:r>
    </w:p>
  </w:endnote>
  <w:endnote w:type="continuationSeparator" w:id="0">
    <w:p w:rsidR="00B03ABC" w:rsidRDefault="00B03ABC" w:rsidP="007E1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ABC" w:rsidRDefault="00B03ABC" w:rsidP="007E1A05">
      <w:pPr>
        <w:spacing w:after="0" w:line="240" w:lineRule="auto"/>
      </w:pPr>
      <w:r>
        <w:separator/>
      </w:r>
    </w:p>
  </w:footnote>
  <w:footnote w:type="continuationSeparator" w:id="0">
    <w:p w:rsidR="00B03ABC" w:rsidRDefault="00B03ABC" w:rsidP="007E1A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D5938"/>
    <w:rsid w:val="00020C75"/>
    <w:rsid w:val="000B6D25"/>
    <w:rsid w:val="000C0206"/>
    <w:rsid w:val="0010124B"/>
    <w:rsid w:val="001224D5"/>
    <w:rsid w:val="00150D7B"/>
    <w:rsid w:val="001B2DC5"/>
    <w:rsid w:val="001B7CF0"/>
    <w:rsid w:val="001E7C40"/>
    <w:rsid w:val="00295129"/>
    <w:rsid w:val="002C0D12"/>
    <w:rsid w:val="00324041"/>
    <w:rsid w:val="003242BD"/>
    <w:rsid w:val="00324C12"/>
    <w:rsid w:val="003564DA"/>
    <w:rsid w:val="00472252"/>
    <w:rsid w:val="005140C9"/>
    <w:rsid w:val="006364D4"/>
    <w:rsid w:val="006E09E9"/>
    <w:rsid w:val="007E1A05"/>
    <w:rsid w:val="007E78E6"/>
    <w:rsid w:val="008079EB"/>
    <w:rsid w:val="00810382"/>
    <w:rsid w:val="008D5938"/>
    <w:rsid w:val="008E6B28"/>
    <w:rsid w:val="0093136A"/>
    <w:rsid w:val="00981991"/>
    <w:rsid w:val="00985E23"/>
    <w:rsid w:val="009A647B"/>
    <w:rsid w:val="009B7F20"/>
    <w:rsid w:val="00A25896"/>
    <w:rsid w:val="00AC340A"/>
    <w:rsid w:val="00B02BA6"/>
    <w:rsid w:val="00B03ABC"/>
    <w:rsid w:val="00B2252B"/>
    <w:rsid w:val="00B6067F"/>
    <w:rsid w:val="00BE08E5"/>
    <w:rsid w:val="00C773AB"/>
    <w:rsid w:val="00CD6AFA"/>
    <w:rsid w:val="00DC3001"/>
    <w:rsid w:val="00E2528B"/>
    <w:rsid w:val="00E76563"/>
    <w:rsid w:val="00F30271"/>
    <w:rsid w:val="00F87716"/>
    <w:rsid w:val="00FF18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A05"/>
    <w:rPr>
      <w:sz w:val="20"/>
      <w:szCs w:val="20"/>
    </w:rPr>
  </w:style>
  <w:style w:type="character" w:styleId="FootnoteReference">
    <w:name w:val="footnote reference"/>
    <w:basedOn w:val="DefaultParagraphFont"/>
    <w:uiPriority w:val="99"/>
    <w:semiHidden/>
    <w:unhideWhenUsed/>
    <w:rsid w:val="007E1A05"/>
    <w:rPr>
      <w:vertAlign w:val="superscript"/>
    </w:rPr>
  </w:style>
  <w:style w:type="table" w:styleId="TableGrid">
    <w:name w:val="Table Grid"/>
    <w:basedOn w:val="TableNormal"/>
    <w:uiPriority w:val="59"/>
    <w:rsid w:val="008E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A05"/>
    <w:rPr>
      <w:sz w:val="20"/>
      <w:szCs w:val="20"/>
    </w:rPr>
  </w:style>
  <w:style w:type="character" w:styleId="FootnoteReference">
    <w:name w:val="footnote reference"/>
    <w:basedOn w:val="DefaultParagraphFont"/>
    <w:uiPriority w:val="99"/>
    <w:semiHidden/>
    <w:unhideWhenUsed/>
    <w:rsid w:val="007E1A0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50BA-8E46-45C1-858D-D1444208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7</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Arip</cp:lastModifiedBy>
  <cp:revision>15</cp:revision>
  <dcterms:created xsi:type="dcterms:W3CDTF">2014-07-01T03:11:00Z</dcterms:created>
  <dcterms:modified xsi:type="dcterms:W3CDTF">2014-07-07T07:02:00Z</dcterms:modified>
</cp:coreProperties>
</file>