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3" w:rsidRPr="00BC6923" w:rsidRDefault="00BC6923" w:rsidP="006E557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36"/>
          <w:szCs w:val="36"/>
        </w:rPr>
      </w:pPr>
      <w:bookmarkStart w:id="0" w:name="_GoBack"/>
      <w:bookmarkEnd w:id="0"/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Membuat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Ruangan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bagi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Orientasi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Seksual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dan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Identitas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Jender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dalam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Hukum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Hak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Asasi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Manusia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Internasional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: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Sebuah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Perkenalan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pada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</w:t>
      </w:r>
      <w:proofErr w:type="spellStart"/>
      <w:r w:rsidRPr="00BC6923">
        <w:rPr>
          <w:rFonts w:ascii="Times-Bold" w:hAnsi="Times-Bold" w:cs="Times-Bold"/>
          <w:b/>
          <w:bCs/>
          <w:sz w:val="36"/>
          <w:szCs w:val="36"/>
        </w:rPr>
        <w:t>Prinsip</w:t>
      </w:r>
      <w:proofErr w:type="spellEnd"/>
      <w:r w:rsidRPr="00BC6923">
        <w:rPr>
          <w:rFonts w:ascii="Times-Bold" w:hAnsi="Times-Bold" w:cs="Times-Bold"/>
          <w:b/>
          <w:bCs/>
          <w:sz w:val="36"/>
          <w:szCs w:val="36"/>
        </w:rPr>
        <w:t xml:space="preserve"> Yogyakarta</w:t>
      </w:r>
    </w:p>
    <w:p w:rsidR="00BC6923" w:rsidRPr="00BC6923" w:rsidRDefault="00BC6923" w:rsidP="00BC69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923" w:rsidRPr="00BC6923" w:rsidRDefault="00BC6923" w:rsidP="00BC69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923">
        <w:rPr>
          <w:rFonts w:ascii="Times New Roman" w:hAnsi="Times New Roman" w:cs="Times New Roman"/>
          <w:b/>
          <w:sz w:val="28"/>
          <w:szCs w:val="28"/>
        </w:rPr>
        <w:t>Ringkasan</w:t>
      </w:r>
      <w:proofErr w:type="spellEnd"/>
      <w:r w:rsidRPr="00BC6923">
        <w:rPr>
          <w:rFonts w:ascii="Times New Roman" w:hAnsi="Times New Roman" w:cs="Times New Roman"/>
          <w:b/>
          <w:sz w:val="28"/>
          <w:szCs w:val="28"/>
        </w:rPr>
        <w:t xml:space="preserve"> – Budi </w:t>
      </w:r>
      <w:proofErr w:type="spellStart"/>
      <w:r w:rsidRPr="00BC6923">
        <w:rPr>
          <w:rFonts w:ascii="Times New Roman" w:hAnsi="Times New Roman" w:cs="Times New Roman"/>
          <w:b/>
          <w:sz w:val="28"/>
          <w:szCs w:val="28"/>
        </w:rPr>
        <w:t>Larasati</w:t>
      </w:r>
      <w:proofErr w:type="spellEnd"/>
    </w:p>
    <w:p w:rsidR="00BC6923" w:rsidRDefault="00BC6923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C5" w:rsidRDefault="00E47CC5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keprihatinan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2006. </w:t>
      </w:r>
    </w:p>
    <w:p w:rsidR="00FE53CC" w:rsidRPr="00FE53CC" w:rsidRDefault="0007516E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HAM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946E8A">
        <w:rPr>
          <w:rFonts w:ascii="Times New Roman" w:hAnsi="Times New Roman" w:cs="Times New Roman"/>
          <w:sz w:val="24"/>
          <w:szCs w:val="24"/>
        </w:rPr>
        <w:t>ender.</w:t>
      </w:r>
      <w:proofErr w:type="gram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atau</w:t>
      </w:r>
      <w:r w:rsidR="00946E8A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FE53CC" w:rsidRPr="00FE53CC">
        <w:rPr>
          <w:rFonts w:ascii="Times New Roman" w:hAnsi="Times New Roman" w:cs="Times New Roman"/>
          <w:sz w:val="24"/>
          <w:szCs w:val="24"/>
        </w:rPr>
        <w:t>ender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3CC" w:rsidRDefault="00E47CC5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C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C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ender,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07516E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7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m</w:t>
      </w:r>
      <w:r w:rsidR="00946E8A">
        <w:rPr>
          <w:rFonts w:ascii="Times New Roman" w:hAnsi="Times New Roman" w:cs="Times New Roman"/>
          <w:sz w:val="24"/>
          <w:szCs w:val="24"/>
        </w:rPr>
        <w:t>enjadi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E8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946E8A">
        <w:rPr>
          <w:rFonts w:ascii="Times New Roman" w:hAnsi="Times New Roman" w:cs="Times New Roman"/>
          <w:sz w:val="24"/>
          <w:szCs w:val="24"/>
        </w:rPr>
        <w:t xml:space="preserve"> UN</w:t>
      </w:r>
      <w:r w:rsidR="004450FC">
        <w:rPr>
          <w:rFonts w:ascii="Times New Roman" w:hAnsi="Times New Roman" w:cs="Times New Roman"/>
          <w:sz w:val="24"/>
          <w:szCs w:val="24"/>
        </w:rPr>
        <w:t>HRC (</w:t>
      </w:r>
      <w:r w:rsidR="004450FC" w:rsidRPr="0007516E">
        <w:rPr>
          <w:rFonts w:ascii="Times New Roman" w:hAnsi="Times New Roman" w:cs="Times New Roman"/>
          <w:i/>
          <w:sz w:val="24"/>
          <w:szCs w:val="24"/>
        </w:rPr>
        <w:t>United Nations Human Rights Council</w:t>
      </w:r>
      <w:r w:rsidR="004450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HAM PBB),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7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="0007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75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16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diperdebatkan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badan-badan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HAM regional,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lap</w:t>
      </w:r>
      <w:r>
        <w:rPr>
          <w:rFonts w:ascii="Times New Roman" w:hAnsi="Times New Roman" w:cs="Times New Roman"/>
          <w:sz w:val="24"/>
          <w:szCs w:val="24"/>
        </w:rPr>
        <w:t>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pelapor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CC5" w:rsidRDefault="00E47CC5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</w:t>
      </w:r>
      <w:r w:rsidR="005C2B43">
        <w:rPr>
          <w:rFonts w:ascii="Times New Roman" w:hAnsi="Times New Roman" w:cs="Times New Roman"/>
          <w:sz w:val="24"/>
          <w:szCs w:val="24"/>
        </w:rPr>
        <w:t xml:space="preserve">karta yang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7C9" w:rsidRDefault="00E47CC5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r w:rsidR="004450FC">
        <w:rPr>
          <w:rFonts w:ascii="Times New Roman" w:hAnsi="Times New Roman" w:cs="Times New Roman"/>
          <w:sz w:val="24"/>
          <w:szCs w:val="24"/>
        </w:rPr>
        <w:t>29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0F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4450FC">
        <w:rPr>
          <w:rFonts w:ascii="Times New Roman" w:hAnsi="Times New Roman" w:cs="Times New Roman"/>
          <w:sz w:val="24"/>
          <w:szCs w:val="24"/>
        </w:rPr>
        <w:t xml:space="preserve">, </w:t>
      </w:r>
      <w:r w:rsidR="00FE53CC" w:rsidRPr="00FE53CC">
        <w:rPr>
          <w:rFonts w:ascii="Times New Roman" w:hAnsi="Times New Roman" w:cs="Times New Roman"/>
          <w:sz w:val="24"/>
          <w:szCs w:val="24"/>
        </w:rPr>
        <w:t>y</w:t>
      </w:r>
      <w:r w:rsidR="00C33B6D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yang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</w:t>
      </w:r>
      <w:r w:rsidR="00C33B6D">
        <w:rPr>
          <w:rFonts w:ascii="Times New Roman" w:hAnsi="Times New Roman" w:cs="Times New Roman"/>
          <w:sz w:val="24"/>
          <w:szCs w:val="24"/>
        </w:rPr>
        <w:t>rientasi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ender. </w:t>
      </w:r>
      <w:proofErr w:type="spellStart"/>
      <w:proofErr w:type="gramStart"/>
      <w:r w:rsidR="00FE53CC" w:rsidRPr="00FE53C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6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C3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sepatutnya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47C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r w:rsidR="009447C9">
        <w:rPr>
          <w:rFonts w:ascii="Times New Roman" w:hAnsi="Times New Roman" w:cs="Times New Roman"/>
          <w:sz w:val="24"/>
          <w:szCs w:val="24"/>
        </w:rPr>
        <w:t xml:space="preserve">pula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rekomen</w:t>
      </w:r>
      <w:r w:rsidR="0059232F">
        <w:rPr>
          <w:rFonts w:ascii="Times New Roman" w:hAnsi="Times New Roman" w:cs="Times New Roman"/>
          <w:sz w:val="24"/>
          <w:szCs w:val="24"/>
        </w:rPr>
        <w:t>dasi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PBB</w:t>
      </w:r>
      <w:r w:rsidR="00592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3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perancang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7B5" w:rsidRDefault="0059232F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ICCPR</w:t>
      </w:r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r w:rsidR="009447C9">
        <w:rPr>
          <w:rFonts w:ascii="Times New Roman" w:hAnsi="Times New Roman" w:cs="Times New Roman"/>
          <w:i/>
          <w:sz w:val="24"/>
          <w:szCs w:val="24"/>
        </w:rPr>
        <w:t>International Covenant</w:t>
      </w:r>
      <w:r w:rsidR="009447C9" w:rsidRPr="00ED19BD">
        <w:rPr>
          <w:rFonts w:ascii="Times New Roman" w:hAnsi="Times New Roman" w:cs="Times New Roman"/>
          <w:i/>
          <w:sz w:val="24"/>
          <w:szCs w:val="24"/>
        </w:rPr>
        <w:t xml:space="preserve"> on Civil and Political Rights</w:t>
      </w:r>
      <w:r w:rsidR="009447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Kovenan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94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7C9">
        <w:rPr>
          <w:rFonts w:ascii="Times New Roman" w:hAnsi="Times New Roman" w:cs="Times New Roman"/>
          <w:sz w:val="24"/>
          <w:szCs w:val="24"/>
        </w:rPr>
        <w:t>Si</w:t>
      </w:r>
      <w:r w:rsidR="005377B5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>,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penahanan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lain</w:t>
      </w:r>
      <w:r w:rsidR="00897C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ICES</w:t>
      </w:r>
      <w:r w:rsidR="005377B5">
        <w:rPr>
          <w:rFonts w:ascii="Times New Roman" w:hAnsi="Times New Roman" w:cs="Times New Roman"/>
          <w:sz w:val="24"/>
          <w:szCs w:val="24"/>
        </w:rPr>
        <w:t>C</w:t>
      </w:r>
      <w:r w:rsidR="00897C00">
        <w:rPr>
          <w:rFonts w:ascii="Times New Roman" w:hAnsi="Times New Roman" w:cs="Times New Roman"/>
          <w:sz w:val="24"/>
          <w:szCs w:val="24"/>
        </w:rPr>
        <w:t>R</w:t>
      </w:r>
      <w:r w:rsidR="005377B5">
        <w:rPr>
          <w:rFonts w:ascii="Times New Roman" w:hAnsi="Times New Roman" w:cs="Times New Roman"/>
          <w:sz w:val="24"/>
          <w:szCs w:val="24"/>
        </w:rPr>
        <w:t xml:space="preserve"> (</w:t>
      </w:r>
      <w:r w:rsidR="005377B5" w:rsidRPr="00ED19BD">
        <w:rPr>
          <w:rFonts w:ascii="Times New Roman" w:hAnsi="Times New Roman" w:cs="Times New Roman"/>
          <w:i/>
          <w:sz w:val="24"/>
          <w:szCs w:val="24"/>
        </w:rPr>
        <w:t>International Covenant on Economic, Social, and Cultural Rights</w:t>
      </w:r>
      <w:r w:rsidR="005377B5">
        <w:rPr>
          <w:rFonts w:ascii="Times New Roman" w:hAnsi="Times New Roman" w:cs="Times New Roman"/>
          <w:sz w:val="24"/>
          <w:szCs w:val="24"/>
        </w:rPr>
        <w:t>/</w:t>
      </w:r>
      <w:r w:rsidR="005377B5" w:rsidRPr="00FC3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Kovenan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>)</w:t>
      </w:r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</w:t>
      </w:r>
      <w:r w:rsidR="00897C00">
        <w:rPr>
          <w:rFonts w:ascii="Times New Roman" w:hAnsi="Times New Roman" w:cs="Times New Roman"/>
          <w:sz w:val="24"/>
          <w:szCs w:val="24"/>
        </w:rPr>
        <w:t>artisipasi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berbudaya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>.</w:t>
      </w:r>
    </w:p>
    <w:p w:rsidR="00FE53CC" w:rsidRDefault="005377B5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CC" w:rsidRPr="00FE53CC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universalisme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HAM yang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terhalangi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C0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atau</w:t>
      </w:r>
      <w:r w:rsidR="00827376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jender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melingkupi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meng</w:t>
      </w:r>
      <w:r w:rsidR="00FE53CC" w:rsidRPr="00FE53CC">
        <w:rPr>
          <w:rFonts w:ascii="Times New Roman" w:hAnsi="Times New Roman" w:cs="Times New Roman"/>
          <w:sz w:val="24"/>
          <w:szCs w:val="24"/>
        </w:rPr>
        <w:t>izin</w:t>
      </w:r>
      <w:r w:rsidR="0082737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menghasut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atau</w:t>
      </w:r>
      <w:r w:rsidR="00827376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impunitas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>,</w:t>
      </w:r>
      <w:r w:rsidR="008273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</w:t>
      </w:r>
      <w:r w:rsidR="00827376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FE53CC" w:rsidRPr="00FE53CC">
        <w:rPr>
          <w:rFonts w:ascii="Times New Roman" w:hAnsi="Times New Roman" w:cs="Times New Roman"/>
          <w:sz w:val="24"/>
          <w:szCs w:val="24"/>
        </w:rPr>
        <w:t>ender</w:t>
      </w:r>
      <w:r w:rsidR="00827376">
        <w:rPr>
          <w:rFonts w:ascii="Times New Roman" w:hAnsi="Times New Roman" w:cs="Times New Roman"/>
          <w:sz w:val="24"/>
          <w:szCs w:val="24"/>
        </w:rPr>
        <w:t xml:space="preserve"> yang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r w:rsidR="0082737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pembiaran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>’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3CC" w:rsidRDefault="005377B5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827376">
        <w:rPr>
          <w:rFonts w:ascii="Times New Roman" w:hAnsi="Times New Roman" w:cs="Times New Roman"/>
          <w:sz w:val="24"/>
          <w:szCs w:val="24"/>
        </w:rPr>
        <w:t>rientasi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menci</w:t>
      </w:r>
      <w:r w:rsidR="00827376">
        <w:rPr>
          <w:rFonts w:ascii="Times New Roman" w:hAnsi="Times New Roman" w:cs="Times New Roman"/>
          <w:sz w:val="24"/>
          <w:szCs w:val="24"/>
        </w:rPr>
        <w:t>ptakan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="0082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keter</w:t>
      </w:r>
      <w:r w:rsidR="00FE53CC" w:rsidRPr="00FE53CC">
        <w:rPr>
          <w:rFonts w:ascii="Times New Roman" w:hAnsi="Times New Roman" w:cs="Times New Roman"/>
          <w:sz w:val="24"/>
          <w:szCs w:val="24"/>
        </w:rPr>
        <w:t>tarik</w:t>
      </w:r>
      <w:r w:rsidR="0082737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intim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>,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r w:rsidR="00695435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>.’</w:t>
      </w:r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identit</w:t>
      </w:r>
      <w:r w:rsidR="0023072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penghayatan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95435">
        <w:rPr>
          <w:rFonts w:ascii="Times New Roman" w:hAnsi="Times New Roman" w:cs="Times New Roman"/>
          <w:sz w:val="24"/>
          <w:szCs w:val="24"/>
        </w:rPr>
        <w:t xml:space="preserve">ender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atau</w:t>
      </w:r>
      <w:r w:rsidR="00695435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deng</w:t>
      </w:r>
      <w:r w:rsidR="006954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atau</w:t>
      </w:r>
      <w:r w:rsidR="00695435">
        <w:rPr>
          <w:rFonts w:ascii="Times New Roman" w:hAnsi="Times New Roman" w:cs="Times New Roman"/>
          <w:sz w:val="24"/>
          <w:szCs w:val="24"/>
        </w:rPr>
        <w:t>pu</w:t>
      </w:r>
      <w:r w:rsidR="002307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29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230729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95435">
        <w:rPr>
          <w:rFonts w:ascii="Times New Roman" w:hAnsi="Times New Roman" w:cs="Times New Roman"/>
          <w:sz w:val="24"/>
          <w:szCs w:val="24"/>
        </w:rPr>
        <w:t xml:space="preserve">ender lain,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berpakai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5A6" w:rsidRDefault="006D7166" w:rsidP="005C2B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95435">
        <w:rPr>
          <w:rFonts w:ascii="Times New Roman" w:hAnsi="Times New Roman" w:cs="Times New Roman"/>
          <w:sz w:val="24"/>
          <w:szCs w:val="24"/>
        </w:rPr>
        <w:t>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r w:rsidR="00695435" w:rsidRPr="00464D59">
        <w:rPr>
          <w:rFonts w:ascii="Times New Roman" w:hAnsi="Times New Roman" w:cs="Times New Roman"/>
          <w:sz w:val="24"/>
          <w:szCs w:val="24"/>
        </w:rPr>
        <w:t xml:space="preserve"> </w:t>
      </w:r>
      <w:r w:rsidR="00695435" w:rsidRPr="006D7166">
        <w:rPr>
          <w:rFonts w:ascii="Times New Roman" w:hAnsi="Times New Roman" w:cs="Times New Roman"/>
          <w:i/>
          <w:sz w:val="24"/>
          <w:szCs w:val="24"/>
        </w:rPr>
        <w:t>Jurisprudential Annotations to the Yogyakarta Principles</w:t>
      </w:r>
      <w:r w:rsidR="006954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Yurispruden</w:t>
      </w:r>
      <w:r w:rsidR="005C2B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Yogyakarta,</w:t>
      </w:r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gambar</w:t>
      </w:r>
      <w:r w:rsidR="006954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ICCPR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ICESCR,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D7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UDHR (</w:t>
      </w:r>
      <w:r w:rsidRPr="00ED19BD">
        <w:rPr>
          <w:rFonts w:ascii="Times New Roman" w:hAnsi="Times New Roman" w:cs="Times New Roman"/>
          <w:i/>
          <w:sz w:val="24"/>
          <w:szCs w:val="24"/>
        </w:rPr>
        <w:t>Universal Declaration on Human Rights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C2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r w:rsidR="005C2B43">
        <w:rPr>
          <w:rFonts w:ascii="Times New Roman" w:hAnsi="Times New Roman" w:cs="Times New Roman"/>
          <w:sz w:val="24"/>
          <w:szCs w:val="24"/>
        </w:rPr>
        <w:t>-keputusan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IACtHR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7166">
        <w:rPr>
          <w:rFonts w:ascii="Times New Roman" w:hAnsi="Times New Roman" w:cs="Times New Roman"/>
          <w:i/>
          <w:sz w:val="24"/>
          <w:szCs w:val="24"/>
        </w:rPr>
        <w:t>Inter-American Court of Human Rights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inter-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7166">
        <w:rPr>
          <w:rFonts w:ascii="Times New Roman" w:hAnsi="Times New Roman" w:cs="Times New Roman"/>
          <w:i/>
          <w:sz w:val="24"/>
          <w:szCs w:val="24"/>
        </w:rPr>
        <w:t>European Court of Human Right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16218" w:rsidRDefault="005C2B43" w:rsidP="005C2B4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</w:t>
      </w:r>
      <w:r w:rsidR="006D716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IACtHR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ECtHR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541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="00D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54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D62541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="00D6254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62541">
        <w:rPr>
          <w:rFonts w:ascii="Times New Roman" w:hAnsi="Times New Roman" w:cs="Times New Roman"/>
          <w:sz w:val="24"/>
          <w:szCs w:val="24"/>
        </w:rPr>
        <w:t xml:space="preserve"> </w:t>
      </w:r>
      <w:r w:rsidR="006D7166">
        <w:rPr>
          <w:rFonts w:ascii="Times New Roman" w:hAnsi="Times New Roman" w:cs="Times New Roman"/>
          <w:sz w:val="24"/>
          <w:szCs w:val="24"/>
        </w:rPr>
        <w:t>UNHRC (</w:t>
      </w:r>
      <w:r w:rsidR="006D7166" w:rsidRPr="006D7166">
        <w:rPr>
          <w:rFonts w:ascii="Times New Roman" w:hAnsi="Times New Roman" w:cs="Times New Roman"/>
          <w:i/>
          <w:sz w:val="24"/>
          <w:szCs w:val="24"/>
        </w:rPr>
        <w:t>United Nations Human Rights Committee</w:t>
      </w:r>
      <w:r w:rsidR="006D71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r w:rsidR="006D7166">
        <w:rPr>
          <w:rFonts w:ascii="Times New Roman" w:hAnsi="Times New Roman" w:cs="Times New Roman"/>
          <w:sz w:val="24"/>
          <w:szCs w:val="24"/>
        </w:rPr>
        <w:t>HAM PBB)</w:t>
      </w:r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CC" w:rsidRPr="00FE53C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r w:rsidR="006D716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>,’ ‘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,’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541">
        <w:rPr>
          <w:rFonts w:ascii="Times New Roman" w:hAnsi="Times New Roman" w:cs="Times New Roman"/>
          <w:sz w:val="24"/>
          <w:szCs w:val="24"/>
        </w:rPr>
        <w:t>mel</w:t>
      </w:r>
      <w:r w:rsidR="006D7166">
        <w:rPr>
          <w:rFonts w:ascii="Times New Roman" w:hAnsi="Times New Roman" w:cs="Times New Roman"/>
          <w:sz w:val="24"/>
          <w:szCs w:val="24"/>
        </w:rPr>
        <w:t>a</w:t>
      </w:r>
      <w:r w:rsidR="00D62541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D62541">
        <w:rPr>
          <w:rFonts w:ascii="Times New Roman" w:hAnsi="Times New Roman" w:cs="Times New Roman"/>
          <w:sz w:val="24"/>
          <w:szCs w:val="24"/>
        </w:rPr>
        <w:t xml:space="preserve"> </w:t>
      </w:r>
      <w:r w:rsidR="006D716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D62541">
        <w:rPr>
          <w:rFonts w:ascii="Times New Roman" w:hAnsi="Times New Roman" w:cs="Times New Roman"/>
          <w:sz w:val="24"/>
          <w:szCs w:val="24"/>
        </w:rPr>
        <w:t>konsiderasi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keterikatan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opsional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D7166">
        <w:rPr>
          <w:rFonts w:ascii="Times New Roman" w:hAnsi="Times New Roman" w:cs="Times New Roman"/>
          <w:sz w:val="24"/>
          <w:szCs w:val="24"/>
        </w:rPr>
        <w:t>I</w:t>
      </w:r>
      <w:r w:rsidR="00FE53CC" w:rsidRPr="00FE53CC">
        <w:rPr>
          <w:rFonts w:ascii="Times New Roman" w:hAnsi="Times New Roman" w:cs="Times New Roman"/>
          <w:sz w:val="24"/>
          <w:szCs w:val="24"/>
        </w:rPr>
        <w:t>n</w:t>
      </w:r>
      <w:r w:rsidR="006D7166">
        <w:rPr>
          <w:rFonts w:ascii="Times New Roman" w:hAnsi="Times New Roman" w:cs="Times New Roman"/>
          <w:sz w:val="24"/>
          <w:szCs w:val="24"/>
        </w:rPr>
        <w:t>terpretasi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>,</w:t>
      </w:r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E53CC"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pelapor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>,</w:t>
      </w:r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2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Yogyakarta yang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melandaskan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1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18">
        <w:rPr>
          <w:rFonts w:ascii="Times New Roman" w:hAnsi="Times New Roman" w:cs="Times New Roman"/>
          <w:sz w:val="24"/>
          <w:szCs w:val="24"/>
        </w:rPr>
        <w:t>o</w:t>
      </w:r>
      <w:r w:rsidR="006D7166">
        <w:rPr>
          <w:rFonts w:ascii="Times New Roman" w:hAnsi="Times New Roman" w:cs="Times New Roman"/>
          <w:sz w:val="24"/>
          <w:szCs w:val="24"/>
        </w:rPr>
        <w:t>toritatif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6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D7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5A6" w:rsidRDefault="00FF4912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topik-topik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</w:t>
      </w:r>
      <w:r w:rsidR="005C2B4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memperdulikan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digunakannya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tuntuan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ICESCR,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masukanya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jender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kontradiktif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ICCPR, yang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A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965A6">
        <w:rPr>
          <w:rFonts w:ascii="Times New Roman" w:hAnsi="Times New Roman" w:cs="Times New Roman"/>
          <w:sz w:val="24"/>
          <w:szCs w:val="24"/>
        </w:rPr>
        <w:t>.</w:t>
      </w:r>
    </w:p>
    <w:p w:rsidR="00FF4912" w:rsidRDefault="008965A6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</w:t>
      </w:r>
      <w:r w:rsidR="00FF4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privasi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keb</w:t>
      </w:r>
      <w:r w:rsidR="005C2B43">
        <w:rPr>
          <w:rFonts w:ascii="Times New Roman" w:hAnsi="Times New Roman" w:cs="Times New Roman"/>
          <w:sz w:val="24"/>
          <w:szCs w:val="24"/>
        </w:rPr>
        <w:t>eb</w:t>
      </w:r>
      <w:r w:rsidR="00FF4912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penahanan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perlak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FF4912">
        <w:rPr>
          <w:rFonts w:ascii="Times New Roman" w:hAnsi="Times New Roman" w:cs="Times New Roman"/>
          <w:sz w:val="24"/>
          <w:szCs w:val="24"/>
        </w:rPr>
        <w:t>yiksaan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FF4912">
        <w:rPr>
          <w:rFonts w:ascii="Times New Roman" w:hAnsi="Times New Roman" w:cs="Times New Roman"/>
          <w:sz w:val="24"/>
          <w:szCs w:val="24"/>
        </w:rPr>
        <w:t>bebas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FF4912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berasosiasi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suaka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berpart</w:t>
      </w:r>
      <w:r>
        <w:rPr>
          <w:rFonts w:ascii="Times New Roman" w:hAnsi="Times New Roman" w:cs="Times New Roman"/>
          <w:sz w:val="24"/>
          <w:szCs w:val="24"/>
        </w:rPr>
        <w:t>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C2B43">
        <w:rPr>
          <w:rFonts w:ascii="Times New Roman" w:hAnsi="Times New Roman" w:cs="Times New Roman"/>
          <w:sz w:val="24"/>
          <w:szCs w:val="24"/>
        </w:rPr>
        <w:t>enilai</w:t>
      </w:r>
      <w:proofErr w:type="spellEnd"/>
      <w:r w:rsidR="005C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0A3" w:rsidRDefault="008965A6" w:rsidP="005C2B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F4912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</w:t>
      </w:r>
      <w:r w:rsidR="00CA3423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4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0A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56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0A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D56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minoritas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z w:val="24"/>
          <w:szCs w:val="24"/>
        </w:rPr>
        <w:t>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F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560A3" w:rsidSect="00BB4FC5">
      <w:footerReference w:type="default" r:id="rId7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AD" w:rsidRDefault="00BB19AD" w:rsidP="008965A6">
      <w:pPr>
        <w:spacing w:after="0" w:line="240" w:lineRule="auto"/>
      </w:pPr>
      <w:r>
        <w:separator/>
      </w:r>
    </w:p>
  </w:endnote>
  <w:endnote w:type="continuationSeparator" w:id="0">
    <w:p w:rsidR="00BB19AD" w:rsidRDefault="00BB19AD" w:rsidP="0089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973"/>
      <w:docPartObj>
        <w:docPartGallery w:val="Page Numbers (Bottom of Page)"/>
        <w:docPartUnique/>
      </w:docPartObj>
    </w:sdtPr>
    <w:sdtEndPr/>
    <w:sdtContent>
      <w:p w:rsidR="008965A6" w:rsidRDefault="00BB1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5A6" w:rsidRDefault="00896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AD" w:rsidRDefault="00BB19AD" w:rsidP="008965A6">
      <w:pPr>
        <w:spacing w:after="0" w:line="240" w:lineRule="auto"/>
      </w:pPr>
      <w:r>
        <w:separator/>
      </w:r>
    </w:p>
  </w:footnote>
  <w:footnote w:type="continuationSeparator" w:id="0">
    <w:p w:rsidR="00BB19AD" w:rsidRDefault="00BB19AD" w:rsidP="0089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3CC"/>
    <w:rsid w:val="0007516E"/>
    <w:rsid w:val="000D5E93"/>
    <w:rsid w:val="00230729"/>
    <w:rsid w:val="00294A14"/>
    <w:rsid w:val="002D35D1"/>
    <w:rsid w:val="00342F0C"/>
    <w:rsid w:val="003762AF"/>
    <w:rsid w:val="003951C3"/>
    <w:rsid w:val="004450FC"/>
    <w:rsid w:val="005377B5"/>
    <w:rsid w:val="0059232F"/>
    <w:rsid w:val="005C2B43"/>
    <w:rsid w:val="0069076E"/>
    <w:rsid w:val="00695435"/>
    <w:rsid w:val="006D7166"/>
    <w:rsid w:val="006E5570"/>
    <w:rsid w:val="007E3BCB"/>
    <w:rsid w:val="00802AD8"/>
    <w:rsid w:val="00827376"/>
    <w:rsid w:val="008965A6"/>
    <w:rsid w:val="00897C00"/>
    <w:rsid w:val="009447C9"/>
    <w:rsid w:val="00946E8A"/>
    <w:rsid w:val="00A16218"/>
    <w:rsid w:val="00A329C7"/>
    <w:rsid w:val="00A826CD"/>
    <w:rsid w:val="00BB19AD"/>
    <w:rsid w:val="00BB4FC5"/>
    <w:rsid w:val="00BC6923"/>
    <w:rsid w:val="00C151BE"/>
    <w:rsid w:val="00C248AB"/>
    <w:rsid w:val="00C33B6D"/>
    <w:rsid w:val="00CA3423"/>
    <w:rsid w:val="00CB506C"/>
    <w:rsid w:val="00D560A3"/>
    <w:rsid w:val="00D62541"/>
    <w:rsid w:val="00E06B68"/>
    <w:rsid w:val="00E47CC5"/>
    <w:rsid w:val="00FA0B98"/>
    <w:rsid w:val="00FE53CC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2A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96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5A6"/>
  </w:style>
  <w:style w:type="paragraph" w:styleId="Footer">
    <w:name w:val="footer"/>
    <w:basedOn w:val="Normal"/>
    <w:link w:val="FooterChar"/>
    <w:uiPriority w:val="99"/>
    <w:unhideWhenUsed/>
    <w:rsid w:val="00896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Planet Setup</cp:lastModifiedBy>
  <cp:revision>10</cp:revision>
  <dcterms:created xsi:type="dcterms:W3CDTF">2014-08-12T07:21:00Z</dcterms:created>
  <dcterms:modified xsi:type="dcterms:W3CDTF">2015-02-16T06:12:00Z</dcterms:modified>
</cp:coreProperties>
</file>